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6F32CE">
        <w:rPr>
          <w:rFonts w:eastAsia="仿宋_GB2312" w:hint="eastAsia"/>
          <w:color w:val="000000"/>
          <w:sz w:val="32"/>
          <w:szCs w:val="32"/>
        </w:rPr>
        <w:t>4</w:t>
      </w:r>
      <w:r w:rsidR="007776FB">
        <w:rPr>
          <w:rFonts w:eastAsia="仿宋_GB2312" w:hint="eastAsia"/>
          <w:color w:val="000000"/>
          <w:sz w:val="32"/>
          <w:szCs w:val="32"/>
        </w:rPr>
        <w:t>1</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7776FB" w:rsidRPr="007776FB" w:rsidRDefault="007776FB" w:rsidP="007776FB">
      <w:pPr>
        <w:spacing w:line="560" w:lineRule="exact"/>
        <w:jc w:val="center"/>
        <w:rPr>
          <w:rFonts w:ascii="方正大标宋简体" w:eastAsia="方正大标宋简体"/>
          <w:spacing w:val="-6"/>
          <w:sz w:val="44"/>
          <w:szCs w:val="44"/>
        </w:rPr>
      </w:pPr>
      <w:r w:rsidRPr="007776FB">
        <w:rPr>
          <w:rFonts w:ascii="方正大标宋简体" w:eastAsia="方正大标宋简体"/>
          <w:spacing w:val="-6"/>
          <w:sz w:val="44"/>
          <w:szCs w:val="44"/>
        </w:rPr>
        <w:t>关于加快忻州市预制菜产业高质量发展的</w:t>
      </w:r>
    </w:p>
    <w:p w:rsidR="007776FB" w:rsidRPr="007776FB" w:rsidRDefault="007776FB" w:rsidP="007776FB">
      <w:pPr>
        <w:spacing w:line="560" w:lineRule="exact"/>
        <w:jc w:val="center"/>
        <w:rPr>
          <w:rFonts w:ascii="方正大标宋简体" w:eastAsia="方正大标宋简体"/>
          <w:spacing w:val="-6"/>
          <w:sz w:val="44"/>
          <w:szCs w:val="44"/>
        </w:rPr>
      </w:pPr>
      <w:r w:rsidRPr="007776FB">
        <w:rPr>
          <w:rFonts w:ascii="方正大标宋简体" w:eastAsia="方正大标宋简体"/>
          <w:spacing w:val="-6"/>
          <w:sz w:val="44"/>
          <w:szCs w:val="44"/>
        </w:rPr>
        <w:t xml:space="preserve">通 </w:t>
      </w:r>
      <w:r w:rsidRPr="007776FB">
        <w:rPr>
          <w:rFonts w:ascii="方正大标宋简体" w:eastAsia="方正大标宋简体" w:hint="eastAsia"/>
          <w:spacing w:val="-6"/>
          <w:sz w:val="44"/>
          <w:szCs w:val="44"/>
        </w:rPr>
        <w:t xml:space="preserve">  </w:t>
      </w:r>
      <w:r w:rsidRPr="007776FB">
        <w:rPr>
          <w:rFonts w:ascii="方正大标宋简体" w:eastAsia="方正大标宋简体"/>
          <w:spacing w:val="-6"/>
          <w:sz w:val="44"/>
          <w:szCs w:val="44"/>
        </w:rPr>
        <w:t xml:space="preserve"> 知</w:t>
      </w:r>
    </w:p>
    <w:p w:rsidR="007776FB" w:rsidRPr="007776FB" w:rsidRDefault="007776FB" w:rsidP="007776FB">
      <w:pPr>
        <w:spacing w:line="560" w:lineRule="exact"/>
        <w:rPr>
          <w:rFonts w:eastAsia="仿宋_GB2312"/>
        </w:rPr>
      </w:pPr>
    </w:p>
    <w:p w:rsidR="007776FB" w:rsidRPr="007776FB" w:rsidRDefault="007776FB" w:rsidP="007776FB">
      <w:pPr>
        <w:spacing w:line="560" w:lineRule="exact"/>
        <w:rPr>
          <w:rFonts w:eastAsia="仿宋_GB2312"/>
        </w:rPr>
      </w:pPr>
      <w:r w:rsidRPr="007776FB">
        <w:rPr>
          <w:rFonts w:eastAsia="仿宋_GB2312"/>
          <w:sz w:val="32"/>
        </w:rPr>
        <w:t>各县（市、区）人民政府，忻州经济开发区管委会，五台山</w:t>
      </w:r>
      <w:r w:rsidR="00890BE5">
        <w:rPr>
          <w:rFonts w:eastAsia="仿宋_GB2312" w:hint="eastAsia"/>
          <w:sz w:val="32"/>
        </w:rPr>
        <w:t>风</w:t>
      </w:r>
      <w:r w:rsidRPr="007776FB">
        <w:rPr>
          <w:rFonts w:eastAsia="仿宋_GB2312"/>
          <w:sz w:val="32"/>
        </w:rPr>
        <w:t>景名胜区管委会，市直各有关单位：</w:t>
      </w:r>
    </w:p>
    <w:p w:rsidR="007776FB" w:rsidRPr="007776FB" w:rsidRDefault="007776FB" w:rsidP="007776FB">
      <w:pPr>
        <w:spacing w:line="560" w:lineRule="exact"/>
        <w:ind w:firstLineChars="200" w:firstLine="640"/>
        <w:rPr>
          <w:rFonts w:eastAsia="仿宋_GB2312"/>
        </w:rPr>
      </w:pPr>
      <w:r w:rsidRPr="007776FB">
        <w:rPr>
          <w:rFonts w:eastAsia="仿宋_GB2312"/>
          <w:sz w:val="32"/>
          <w:szCs w:val="32"/>
        </w:rPr>
        <w:t>预制菜产业是新发展阶段催生的新业态，</w:t>
      </w:r>
      <w:r w:rsidRPr="007776FB">
        <w:rPr>
          <w:rFonts w:eastAsia="仿宋_GB2312"/>
          <w:sz w:val="32"/>
        </w:rPr>
        <w:t>对延长农业产业链条、提高农产品加工增值水平、促进农民增收致富具有重要作用。为充分发挥我市农产品资源优势，加快农业转型升级，促进</w:t>
      </w:r>
      <w:r w:rsidRPr="007776FB">
        <w:rPr>
          <w:rFonts w:eastAsia="仿宋_GB2312"/>
          <w:sz w:val="32"/>
        </w:rPr>
        <w:t>“</w:t>
      </w:r>
      <w:r w:rsidRPr="007776FB">
        <w:rPr>
          <w:rFonts w:eastAsia="仿宋_GB2312"/>
          <w:sz w:val="32"/>
        </w:rPr>
        <w:t>有机旱作</w:t>
      </w:r>
      <w:r w:rsidRPr="007776FB">
        <w:rPr>
          <w:rFonts w:eastAsia="仿宋_GB2312"/>
          <w:sz w:val="32"/>
        </w:rPr>
        <w:t>”</w:t>
      </w:r>
      <w:r w:rsidRPr="007776FB">
        <w:rPr>
          <w:rFonts w:eastAsia="仿宋_GB2312"/>
          <w:sz w:val="32"/>
        </w:rPr>
        <w:t>特色预制菜产业健康发展，助力实现乡村振兴，根据《山西省人民政府办公厅关于加快山西省预制菜产业高质量发展的意见》（</w:t>
      </w:r>
      <w:r w:rsidRPr="007776FB">
        <w:rPr>
          <w:rFonts w:eastAsia="仿宋_GB2312"/>
          <w:sz w:val="32"/>
          <w:szCs w:val="32"/>
        </w:rPr>
        <w:t>晋政办发〔</w:t>
      </w:r>
      <w:r w:rsidRPr="007776FB">
        <w:rPr>
          <w:rFonts w:eastAsia="仿宋_GB2312"/>
          <w:sz w:val="32"/>
          <w:szCs w:val="32"/>
        </w:rPr>
        <w:t>2023</w:t>
      </w:r>
      <w:r w:rsidRPr="007776FB">
        <w:rPr>
          <w:rFonts w:eastAsia="仿宋_GB2312"/>
          <w:sz w:val="32"/>
          <w:szCs w:val="32"/>
        </w:rPr>
        <w:t>〕</w:t>
      </w:r>
      <w:r w:rsidRPr="007776FB">
        <w:rPr>
          <w:rFonts w:eastAsia="仿宋_GB2312"/>
          <w:sz w:val="32"/>
          <w:szCs w:val="32"/>
        </w:rPr>
        <w:t>46</w:t>
      </w:r>
      <w:r w:rsidRPr="007776FB">
        <w:rPr>
          <w:rFonts w:eastAsia="仿宋_GB2312"/>
          <w:sz w:val="32"/>
          <w:szCs w:val="32"/>
        </w:rPr>
        <w:t>号</w:t>
      </w:r>
      <w:r w:rsidRPr="007776FB">
        <w:rPr>
          <w:rFonts w:eastAsia="仿宋_GB2312"/>
          <w:sz w:val="32"/>
        </w:rPr>
        <w:t>），现就加快预制菜产业高质量发展有关事项通知如下。</w:t>
      </w:r>
    </w:p>
    <w:p w:rsidR="007776FB" w:rsidRPr="007776FB" w:rsidRDefault="007776FB" w:rsidP="007776FB">
      <w:pPr>
        <w:spacing w:line="560" w:lineRule="exact"/>
        <w:ind w:firstLineChars="200" w:firstLine="640"/>
        <w:rPr>
          <w:rFonts w:eastAsia="黑体"/>
        </w:rPr>
      </w:pPr>
      <w:r w:rsidRPr="007776FB">
        <w:rPr>
          <w:rFonts w:eastAsia="黑体"/>
          <w:sz w:val="32"/>
        </w:rPr>
        <w:lastRenderedPageBreak/>
        <w:t>一、总体要求</w:t>
      </w:r>
    </w:p>
    <w:p w:rsidR="007776FB" w:rsidRPr="007776FB" w:rsidRDefault="007776FB" w:rsidP="007776FB">
      <w:pPr>
        <w:spacing w:line="560" w:lineRule="exact"/>
        <w:ind w:firstLineChars="200" w:firstLine="640"/>
        <w:rPr>
          <w:rFonts w:eastAsia="楷体_GB2312"/>
        </w:rPr>
      </w:pPr>
      <w:r w:rsidRPr="007776FB">
        <w:rPr>
          <w:rFonts w:eastAsia="楷体_GB2312"/>
          <w:sz w:val="32"/>
        </w:rPr>
        <w:t>（一）发展重点</w:t>
      </w:r>
    </w:p>
    <w:p w:rsidR="007776FB" w:rsidRPr="007776FB" w:rsidRDefault="007776FB" w:rsidP="007776FB">
      <w:pPr>
        <w:spacing w:line="560" w:lineRule="exact"/>
        <w:ind w:firstLineChars="200" w:firstLine="640"/>
        <w:rPr>
          <w:rFonts w:eastAsia="仿宋_GB2312"/>
        </w:rPr>
      </w:pPr>
      <w:r w:rsidRPr="007776FB">
        <w:rPr>
          <w:rFonts w:eastAsia="仿宋_GB2312"/>
          <w:sz w:val="32"/>
        </w:rPr>
        <w:t>以健康食品、功能食品为主要特征，按照即食、即热、即烹、即配要求</w:t>
      </w:r>
      <w:r w:rsidR="00330C84">
        <w:rPr>
          <w:rFonts w:eastAsia="仿宋_GB2312" w:hint="eastAsia"/>
          <w:sz w:val="32"/>
        </w:rPr>
        <w:t>，</w:t>
      </w:r>
      <w:r w:rsidRPr="007776FB">
        <w:rPr>
          <w:rFonts w:eastAsia="仿宋_GB2312"/>
          <w:sz w:val="32"/>
        </w:rPr>
        <w:t>加快以杂粮为主的特色优势农产品加工转化。</w:t>
      </w:r>
    </w:p>
    <w:p w:rsidR="007776FB" w:rsidRPr="007776FB" w:rsidRDefault="007776FB" w:rsidP="007776FB">
      <w:pPr>
        <w:spacing w:line="560" w:lineRule="exact"/>
        <w:ind w:firstLineChars="200" w:firstLine="643"/>
        <w:rPr>
          <w:rFonts w:eastAsia="仿宋_GB2312"/>
        </w:rPr>
      </w:pPr>
      <w:r w:rsidRPr="007776FB">
        <w:rPr>
          <w:rFonts w:eastAsia="仿宋_GB2312"/>
          <w:b/>
          <w:bCs/>
          <w:sz w:val="32"/>
        </w:rPr>
        <w:t>——</w:t>
      </w:r>
      <w:r w:rsidRPr="007776FB">
        <w:rPr>
          <w:rFonts w:eastAsia="仿宋_GB2312"/>
          <w:b/>
          <w:bCs/>
          <w:sz w:val="32"/>
        </w:rPr>
        <w:t>甜糯玉米类。</w:t>
      </w:r>
      <w:r w:rsidRPr="007776FB">
        <w:rPr>
          <w:rFonts w:eastAsia="仿宋_GB2312"/>
          <w:sz w:val="32"/>
        </w:rPr>
        <w:t>以全市近</w:t>
      </w:r>
      <w:r w:rsidRPr="007776FB">
        <w:rPr>
          <w:rFonts w:eastAsia="仿宋_GB2312"/>
          <w:sz w:val="32"/>
        </w:rPr>
        <w:t>15</w:t>
      </w:r>
      <w:r w:rsidRPr="007776FB">
        <w:rPr>
          <w:rFonts w:eastAsia="仿宋_GB2312"/>
          <w:sz w:val="32"/>
        </w:rPr>
        <w:t>万亩甜糯玉米为依托，充分发挥规模效应，推动甜糯玉米全产业链发展，提高真空包装甜糯玉米、冷冻甜糯玉米等拳头产品的市场占有率，将甜糯玉米发展成为我市预制菜领军产业。</w:t>
      </w:r>
    </w:p>
    <w:p w:rsidR="007776FB" w:rsidRPr="007776FB" w:rsidRDefault="007776FB" w:rsidP="007776FB">
      <w:pPr>
        <w:spacing w:line="560" w:lineRule="exact"/>
        <w:ind w:firstLineChars="200" w:firstLine="643"/>
        <w:rPr>
          <w:rFonts w:eastAsia="仿宋_GB2312"/>
        </w:rPr>
      </w:pPr>
      <w:r w:rsidRPr="007776FB">
        <w:rPr>
          <w:rFonts w:eastAsia="仿宋_GB2312"/>
          <w:b/>
          <w:bCs/>
          <w:sz w:val="32"/>
        </w:rPr>
        <w:t>——</w:t>
      </w:r>
      <w:r w:rsidRPr="007776FB">
        <w:rPr>
          <w:rFonts w:eastAsia="仿宋_GB2312"/>
          <w:b/>
          <w:bCs/>
          <w:sz w:val="32"/>
        </w:rPr>
        <w:t>杂粮粥类。</w:t>
      </w:r>
      <w:r w:rsidRPr="007776FB">
        <w:rPr>
          <w:rFonts w:eastAsia="仿宋_GB2312"/>
          <w:sz w:val="32"/>
        </w:rPr>
        <w:t>以小米、荞麦、莜麦、藜麦、红芸豆等特色杂粮为依托，发挥我市</w:t>
      </w:r>
      <w:r w:rsidRPr="007776FB">
        <w:rPr>
          <w:rFonts w:eastAsia="仿宋_GB2312"/>
          <w:sz w:val="32"/>
        </w:rPr>
        <w:t>“</w:t>
      </w:r>
      <w:r w:rsidRPr="007776FB">
        <w:rPr>
          <w:rFonts w:eastAsia="仿宋_GB2312"/>
          <w:sz w:val="32"/>
        </w:rPr>
        <w:t>中国杂粮之都</w:t>
      </w:r>
      <w:r w:rsidRPr="007776FB">
        <w:rPr>
          <w:rFonts w:eastAsia="仿宋_GB2312"/>
          <w:sz w:val="32"/>
        </w:rPr>
        <w:t>”</w:t>
      </w:r>
      <w:r w:rsidRPr="007776FB">
        <w:rPr>
          <w:rFonts w:eastAsia="仿宋_GB2312"/>
          <w:sz w:val="32"/>
        </w:rPr>
        <w:t>各项优势，开发即食小米粥、杂粮包、杂粮代餐粉、五谷杂粮粥、红芸豆罐头、冲调燕麦片等杂粮特色产品。</w:t>
      </w:r>
    </w:p>
    <w:p w:rsidR="007776FB" w:rsidRPr="007776FB" w:rsidRDefault="007776FB" w:rsidP="007776FB">
      <w:pPr>
        <w:spacing w:line="560" w:lineRule="exact"/>
        <w:ind w:firstLineChars="200" w:firstLine="643"/>
      </w:pPr>
      <w:r w:rsidRPr="007776FB">
        <w:rPr>
          <w:rFonts w:eastAsia="仿宋_GB2312"/>
          <w:b/>
          <w:bCs/>
          <w:sz w:val="32"/>
        </w:rPr>
        <w:t>——</w:t>
      </w:r>
      <w:r w:rsidRPr="007776FB">
        <w:rPr>
          <w:rFonts w:eastAsia="仿宋_GB2312"/>
          <w:b/>
          <w:bCs/>
          <w:sz w:val="32"/>
        </w:rPr>
        <w:t>即食面食类。</w:t>
      </w:r>
      <w:r w:rsidRPr="007776FB">
        <w:rPr>
          <w:rFonts w:eastAsia="仿宋_GB2312"/>
          <w:sz w:val="32"/>
        </w:rPr>
        <w:t>以现有的神池饼、原平锅盔、杂粮饼干、真空包装碗托等产业为基础，针对市场需求持续推进产品换代升级和新品研发，凭借杂粮特色抢占即食面食类预制菜市场。</w:t>
      </w:r>
    </w:p>
    <w:p w:rsidR="007776FB" w:rsidRPr="007776FB" w:rsidRDefault="007776FB" w:rsidP="007776FB">
      <w:pPr>
        <w:spacing w:line="560" w:lineRule="exact"/>
        <w:ind w:firstLineChars="200" w:firstLine="643"/>
        <w:rPr>
          <w:rFonts w:eastAsia="仿宋_GB2312"/>
        </w:rPr>
      </w:pPr>
      <w:r w:rsidRPr="007776FB">
        <w:rPr>
          <w:rFonts w:eastAsia="仿宋_GB2312"/>
          <w:b/>
          <w:bCs/>
          <w:sz w:val="32"/>
        </w:rPr>
        <w:t>——</w:t>
      </w:r>
      <w:r w:rsidRPr="007776FB">
        <w:rPr>
          <w:rFonts w:eastAsia="仿宋_GB2312"/>
          <w:b/>
          <w:bCs/>
          <w:sz w:val="32"/>
        </w:rPr>
        <w:t>蔬菜类。</w:t>
      </w:r>
      <w:r w:rsidRPr="007776FB">
        <w:rPr>
          <w:rFonts w:eastAsia="仿宋_GB2312"/>
          <w:sz w:val="32"/>
        </w:rPr>
        <w:t>以现有的忻府区辣椒产业、五台台蘑酱产业为基础，引进先进加工工艺和生产线，扩充产品系列，打造知名品牌，提升产品市场竞争力。</w:t>
      </w:r>
    </w:p>
    <w:p w:rsidR="007776FB" w:rsidRPr="007776FB" w:rsidRDefault="007776FB" w:rsidP="007776FB">
      <w:pPr>
        <w:spacing w:line="560" w:lineRule="exact"/>
        <w:ind w:firstLineChars="200" w:firstLine="640"/>
        <w:rPr>
          <w:rFonts w:eastAsia="楷体_GB2312"/>
        </w:rPr>
      </w:pPr>
      <w:r w:rsidRPr="007776FB">
        <w:rPr>
          <w:rFonts w:eastAsia="楷体_GB2312"/>
          <w:sz w:val="32"/>
        </w:rPr>
        <w:t>（二）主要目标</w:t>
      </w:r>
    </w:p>
    <w:p w:rsidR="007776FB" w:rsidRPr="007776FB" w:rsidRDefault="007776FB" w:rsidP="007776FB">
      <w:pPr>
        <w:spacing w:line="560" w:lineRule="exact"/>
        <w:ind w:firstLineChars="200" w:firstLine="640"/>
        <w:rPr>
          <w:rFonts w:eastAsia="仿宋_GB2312"/>
        </w:rPr>
      </w:pPr>
      <w:r w:rsidRPr="007776FB">
        <w:rPr>
          <w:rFonts w:eastAsia="仿宋_GB2312"/>
          <w:sz w:val="32"/>
        </w:rPr>
        <w:t>到</w:t>
      </w:r>
      <w:r w:rsidRPr="007776FB">
        <w:rPr>
          <w:rFonts w:eastAsia="仿宋_GB2312"/>
          <w:sz w:val="32"/>
        </w:rPr>
        <w:t>2025</w:t>
      </w:r>
      <w:r w:rsidRPr="007776FB">
        <w:rPr>
          <w:rFonts w:eastAsia="仿宋_GB2312"/>
          <w:sz w:val="32"/>
        </w:rPr>
        <w:t>年，力争全市预制菜产业规模实现倍增，预制菜加工产值达到</w:t>
      </w:r>
      <w:r w:rsidRPr="007776FB">
        <w:rPr>
          <w:rFonts w:eastAsia="仿宋_GB2312"/>
          <w:sz w:val="32"/>
        </w:rPr>
        <w:t>30</w:t>
      </w:r>
      <w:r w:rsidRPr="007776FB">
        <w:rPr>
          <w:rFonts w:eastAsia="仿宋_GB2312"/>
          <w:sz w:val="32"/>
        </w:rPr>
        <w:t>亿元以上；预制菜加工企业实力显著增强，销售收入</w:t>
      </w:r>
      <w:r w:rsidRPr="007776FB">
        <w:rPr>
          <w:rFonts w:eastAsia="仿宋_GB2312"/>
          <w:sz w:val="32"/>
        </w:rPr>
        <w:t>5000</w:t>
      </w:r>
      <w:r w:rsidRPr="007776FB">
        <w:rPr>
          <w:rFonts w:eastAsia="仿宋_GB2312"/>
          <w:sz w:val="32"/>
        </w:rPr>
        <w:t>万元以上企业发展到</w:t>
      </w:r>
      <w:r w:rsidRPr="007776FB">
        <w:rPr>
          <w:rFonts w:eastAsia="仿宋_GB2312"/>
          <w:sz w:val="32"/>
        </w:rPr>
        <w:t>10</w:t>
      </w:r>
      <w:r w:rsidRPr="007776FB">
        <w:rPr>
          <w:rFonts w:eastAsia="仿宋_GB2312"/>
          <w:sz w:val="32"/>
        </w:rPr>
        <w:t>家；预制菜标准化水平显著提升，制定发布预制菜产业团体或地方标准</w:t>
      </w:r>
      <w:r w:rsidRPr="007776FB">
        <w:rPr>
          <w:rFonts w:eastAsia="仿宋_GB2312"/>
          <w:sz w:val="32"/>
        </w:rPr>
        <w:t>3</w:t>
      </w:r>
      <w:r w:rsidRPr="007776FB">
        <w:rPr>
          <w:rFonts w:eastAsia="仿宋_GB2312"/>
          <w:sz w:val="32"/>
        </w:rPr>
        <w:t>项以上；预制菜市场竞争力显著增强，打造一批优秀企业品牌、产品品牌，以杂粮为主的预制菜产业取得全面进展。</w:t>
      </w:r>
    </w:p>
    <w:p w:rsidR="007776FB" w:rsidRPr="007776FB" w:rsidRDefault="007776FB" w:rsidP="007776FB">
      <w:pPr>
        <w:spacing w:line="560" w:lineRule="exact"/>
        <w:ind w:firstLineChars="200" w:firstLine="640"/>
        <w:rPr>
          <w:rFonts w:eastAsia="黑体"/>
        </w:rPr>
      </w:pPr>
      <w:r w:rsidRPr="007776FB">
        <w:rPr>
          <w:rFonts w:eastAsia="黑体"/>
          <w:sz w:val="32"/>
        </w:rPr>
        <w:t>二、重点任务</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（一）培育壮大经营主体。</w:t>
      </w:r>
      <w:r w:rsidRPr="007776FB">
        <w:rPr>
          <w:rFonts w:eastAsia="仿宋_GB2312"/>
          <w:sz w:val="32"/>
        </w:rPr>
        <w:t>重点培育一批预制菜加工、物流、营销示范企业。深入实施</w:t>
      </w:r>
      <w:r w:rsidRPr="007776FB">
        <w:rPr>
          <w:rFonts w:eastAsia="仿宋_GB2312"/>
          <w:sz w:val="32"/>
        </w:rPr>
        <w:t>“</w:t>
      </w:r>
      <w:r w:rsidRPr="007776FB">
        <w:rPr>
          <w:rFonts w:eastAsia="仿宋_GB2312"/>
          <w:sz w:val="32"/>
        </w:rPr>
        <w:t>头雁</w:t>
      </w:r>
      <w:r w:rsidRPr="007776FB">
        <w:rPr>
          <w:rFonts w:eastAsia="仿宋_GB2312"/>
          <w:sz w:val="32"/>
        </w:rPr>
        <w:t>”</w:t>
      </w:r>
      <w:r w:rsidRPr="007776FB">
        <w:rPr>
          <w:rFonts w:eastAsia="仿宋_GB2312"/>
          <w:sz w:val="32"/>
        </w:rPr>
        <w:t>企业培育行动，</w:t>
      </w:r>
      <w:r w:rsidRPr="007776FB">
        <w:rPr>
          <w:rFonts w:eastAsia="仿宋_GB2312"/>
          <w:sz w:val="32"/>
        </w:rPr>
        <w:t>“</w:t>
      </w:r>
      <w:r w:rsidRPr="007776FB">
        <w:rPr>
          <w:rFonts w:eastAsia="仿宋_GB2312"/>
          <w:sz w:val="32"/>
        </w:rPr>
        <w:t>一企一策</w:t>
      </w:r>
      <w:r w:rsidRPr="007776FB">
        <w:rPr>
          <w:rFonts w:eastAsia="仿宋_GB2312"/>
          <w:sz w:val="32"/>
        </w:rPr>
        <w:t>”</w:t>
      </w:r>
      <w:r w:rsidRPr="007776FB">
        <w:rPr>
          <w:rFonts w:eastAsia="仿宋_GB2312"/>
          <w:sz w:val="32"/>
        </w:rPr>
        <w:t>培育壮大链主企业，推动重点预制菜企业做优做强，提升其产品研发、贮运流通、品牌培育、标准化生产、市场营销等水平。支持鼓励面向企业主体的各类财政补助资金，加大对预制菜企业符合条件的项目支持力度。强化优质中小企业培育，提高市场竞争力，聚力打造</w:t>
      </w:r>
      <w:r w:rsidRPr="007776FB">
        <w:rPr>
          <w:rFonts w:eastAsia="仿宋_GB2312"/>
          <w:sz w:val="32"/>
        </w:rPr>
        <w:t>“</w:t>
      </w:r>
      <w:r w:rsidRPr="007776FB">
        <w:rPr>
          <w:rFonts w:eastAsia="仿宋_GB2312"/>
          <w:sz w:val="32"/>
        </w:rPr>
        <w:t>专精特新</w:t>
      </w:r>
      <w:r w:rsidRPr="007776FB">
        <w:rPr>
          <w:rFonts w:eastAsia="仿宋_GB2312"/>
          <w:sz w:val="32"/>
        </w:rPr>
        <w:t>”“</w:t>
      </w:r>
      <w:r w:rsidRPr="007776FB">
        <w:rPr>
          <w:rFonts w:eastAsia="仿宋_GB2312"/>
          <w:sz w:val="32"/>
        </w:rPr>
        <w:t>小巨人</w:t>
      </w:r>
      <w:r w:rsidRPr="007776FB">
        <w:rPr>
          <w:rFonts w:eastAsia="仿宋_GB2312"/>
          <w:sz w:val="32"/>
        </w:rPr>
        <w:t>”“</w:t>
      </w:r>
      <w:r w:rsidRPr="007776FB">
        <w:rPr>
          <w:rFonts w:eastAsia="仿宋_GB2312"/>
          <w:sz w:val="32"/>
        </w:rPr>
        <w:t>单项冠军</w:t>
      </w:r>
      <w:r w:rsidRPr="007776FB">
        <w:rPr>
          <w:rFonts w:eastAsia="仿宋_GB2312"/>
          <w:sz w:val="32"/>
        </w:rPr>
        <w:t>”</w:t>
      </w:r>
      <w:r w:rsidRPr="007776FB">
        <w:rPr>
          <w:rFonts w:eastAsia="仿宋_GB2312"/>
          <w:sz w:val="32"/>
        </w:rPr>
        <w:t>企业。（责任单位：市农业农村局、市财政局、市工信局）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（二）提升原料供应能力。</w:t>
      </w:r>
      <w:r w:rsidRPr="007776FB">
        <w:rPr>
          <w:rFonts w:eastAsia="仿宋_GB2312"/>
          <w:sz w:val="32"/>
        </w:rPr>
        <w:t>结合我市产业布局，依托现有特色产业基地或产业集群，提升预制菜原料标准化、规模化供应能力。支持预制菜企业通过自建基地、合同订单等方式，建设长期、稳定、优质的原料供应渠道。严格落实农产品承诺达标合格证查验制度，依法依规查验农产品。打造标准化、特色化</w:t>
      </w:r>
      <w:r w:rsidRPr="007776FB">
        <w:rPr>
          <w:rFonts w:eastAsia="仿宋_GB2312"/>
          <w:sz w:val="32"/>
        </w:rPr>
        <w:t>“</w:t>
      </w:r>
      <w:r w:rsidRPr="007776FB">
        <w:rPr>
          <w:rFonts w:eastAsia="仿宋_GB2312"/>
          <w:sz w:val="32"/>
        </w:rPr>
        <w:t>原料车间</w:t>
      </w:r>
      <w:r w:rsidRPr="007776FB">
        <w:rPr>
          <w:rFonts w:eastAsia="仿宋_GB2312"/>
          <w:sz w:val="32"/>
        </w:rPr>
        <w:t>”</w:t>
      </w:r>
      <w:r w:rsidRPr="007776FB">
        <w:rPr>
          <w:rFonts w:eastAsia="仿宋_GB2312"/>
          <w:sz w:val="32"/>
        </w:rPr>
        <w:t>，保障预制菜原料供应和质量安全。（责任单位：市农业农村局）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（三）推动园区化发展。</w:t>
      </w:r>
      <w:r w:rsidRPr="007776FB">
        <w:rPr>
          <w:rFonts w:eastAsia="仿宋_GB2312"/>
          <w:sz w:val="32"/>
        </w:rPr>
        <w:t>鼓励各地利用现有产业园区，通过优化整合、</w:t>
      </w:r>
      <w:r w:rsidRPr="007776FB">
        <w:rPr>
          <w:rFonts w:eastAsia="仿宋_GB2312"/>
          <w:sz w:val="32"/>
        </w:rPr>
        <w:t>“</w:t>
      </w:r>
      <w:r w:rsidRPr="007776FB">
        <w:rPr>
          <w:rFonts w:eastAsia="仿宋_GB2312"/>
          <w:sz w:val="32"/>
        </w:rPr>
        <w:t>腾笼换鸟</w:t>
      </w:r>
      <w:r w:rsidRPr="007776FB">
        <w:rPr>
          <w:rFonts w:eastAsia="仿宋_GB2312"/>
          <w:sz w:val="32"/>
        </w:rPr>
        <w:t>”</w:t>
      </w:r>
      <w:r w:rsidRPr="007776FB">
        <w:rPr>
          <w:rFonts w:eastAsia="仿宋_GB2312"/>
          <w:sz w:val="32"/>
        </w:rPr>
        <w:t>、合作开发等，新建改造一批预制菜产业园，推动预制莱产业链企业集中入园发展，形成产业集聚效应。（责任单位：各县</w:t>
      </w:r>
      <w:r w:rsidR="00192E87">
        <w:rPr>
          <w:rFonts w:eastAsia="仿宋_GB2312" w:hint="eastAsia"/>
          <w:sz w:val="32"/>
        </w:rPr>
        <w:t>〈</w:t>
      </w:r>
      <w:r w:rsidRPr="007776FB">
        <w:rPr>
          <w:rFonts w:eastAsia="仿宋_GB2312"/>
          <w:sz w:val="32"/>
        </w:rPr>
        <w:t>市、区</w:t>
      </w:r>
      <w:r w:rsidR="00192E87">
        <w:rPr>
          <w:rFonts w:eastAsia="仿宋_GB2312" w:hint="eastAsia"/>
          <w:sz w:val="32"/>
        </w:rPr>
        <w:t>〉</w:t>
      </w:r>
      <w:r w:rsidRPr="007776FB">
        <w:rPr>
          <w:rFonts w:eastAsia="仿宋_GB2312"/>
          <w:sz w:val="32"/>
        </w:rPr>
        <w:t>政府、市农业农村局、市商务局、市工信局、市自然资源局）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（四）完善冷链物流体系。</w:t>
      </w:r>
      <w:r w:rsidRPr="007776FB">
        <w:rPr>
          <w:rFonts w:eastAsia="仿宋_GB2312"/>
          <w:sz w:val="32"/>
        </w:rPr>
        <w:t>加强生产预冷、低温加工、冷链配送、冷冻保鲜和仓储冷库等冷链物流体系建设。设置田头前置仓、销区前置仓，补齐预制菜产业首末端物流运输的短板。（责任单位：市农业农村局、市商务局、市发展改革委）</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（五）打造知名品牌。</w:t>
      </w:r>
      <w:r w:rsidRPr="007776FB">
        <w:rPr>
          <w:rFonts w:eastAsia="仿宋_GB2312"/>
          <w:sz w:val="32"/>
        </w:rPr>
        <w:t>对接</w:t>
      </w:r>
      <w:r w:rsidRPr="007776FB">
        <w:rPr>
          <w:rFonts w:eastAsia="仿宋_GB2312"/>
          <w:sz w:val="32"/>
        </w:rPr>
        <w:t>“</w:t>
      </w:r>
      <w:r w:rsidRPr="007776FB">
        <w:rPr>
          <w:rFonts w:eastAsia="仿宋_GB2312"/>
          <w:sz w:val="32"/>
        </w:rPr>
        <w:t>有机旱作</w:t>
      </w:r>
      <w:r w:rsidRPr="007776FB">
        <w:rPr>
          <w:rFonts w:eastAsia="仿宋_GB2312"/>
          <w:sz w:val="32"/>
        </w:rPr>
        <w:t>·</w:t>
      </w:r>
      <w:r w:rsidRPr="007776FB">
        <w:rPr>
          <w:rFonts w:eastAsia="仿宋_GB2312"/>
          <w:sz w:val="32"/>
        </w:rPr>
        <w:t>晋品</w:t>
      </w:r>
      <w:r w:rsidRPr="007776FB">
        <w:rPr>
          <w:rFonts w:eastAsia="仿宋_GB2312"/>
          <w:sz w:val="32"/>
        </w:rPr>
        <w:t>”“</w:t>
      </w:r>
      <w:r w:rsidRPr="007776FB">
        <w:rPr>
          <w:rFonts w:eastAsia="仿宋_GB2312"/>
          <w:sz w:val="32"/>
        </w:rPr>
        <w:t>山西精品</w:t>
      </w:r>
      <w:r w:rsidRPr="007776FB">
        <w:rPr>
          <w:rFonts w:eastAsia="仿宋_GB2312"/>
          <w:sz w:val="32"/>
        </w:rPr>
        <w:t>”“</w:t>
      </w:r>
      <w:r w:rsidRPr="007776FB">
        <w:rPr>
          <w:rFonts w:eastAsia="仿宋_GB2312"/>
          <w:sz w:val="32"/>
        </w:rPr>
        <w:t>忻州杂粮</w:t>
      </w:r>
      <w:r w:rsidRPr="007776FB">
        <w:rPr>
          <w:rFonts w:eastAsia="仿宋_GB2312"/>
          <w:sz w:val="32"/>
        </w:rPr>
        <w:t>”</w:t>
      </w:r>
      <w:r w:rsidRPr="007776FB">
        <w:rPr>
          <w:rFonts w:eastAsia="仿宋_GB2312"/>
          <w:sz w:val="32"/>
        </w:rPr>
        <w:t>等公用品牌，构建预制菜产品品牌、企业品牌、公用品牌的品牌矩阵。深度发掘五台山佛教、杨家将等忻州各地文化故事，将产品文化与本地文化相融合，强化文化赋能，讲好品牌故事，提升我市预制菜文化内涵和吸引力。鼓励</w:t>
      </w:r>
      <w:r w:rsidRPr="007776FB">
        <w:rPr>
          <w:rFonts w:eastAsia="仿宋_GB2312"/>
          <w:sz w:val="32"/>
        </w:rPr>
        <w:t>“</w:t>
      </w:r>
      <w:r w:rsidRPr="007776FB">
        <w:rPr>
          <w:rFonts w:eastAsia="仿宋_GB2312"/>
          <w:sz w:val="32"/>
        </w:rPr>
        <w:t>老字号</w:t>
      </w:r>
      <w:r w:rsidRPr="007776FB">
        <w:rPr>
          <w:rFonts w:eastAsia="仿宋_GB2312"/>
          <w:sz w:val="32"/>
        </w:rPr>
        <w:t>”</w:t>
      </w:r>
      <w:r w:rsidRPr="007776FB">
        <w:rPr>
          <w:rFonts w:eastAsia="仿宋_GB2312"/>
          <w:sz w:val="32"/>
        </w:rPr>
        <w:t>传统美食、特色名吃进行预制菜工业化改造。（责任单位：市农业农村局、市商务局、市工信局、市市场监管局）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（六）拓宽市场营销渠道。</w:t>
      </w:r>
      <w:r w:rsidRPr="007776FB">
        <w:rPr>
          <w:rFonts w:eastAsia="仿宋_GB2312"/>
          <w:sz w:val="32"/>
        </w:rPr>
        <w:t>创新推广</w:t>
      </w:r>
      <w:r w:rsidRPr="007776FB">
        <w:rPr>
          <w:rFonts w:eastAsia="仿宋_GB2312"/>
          <w:sz w:val="32"/>
        </w:rPr>
        <w:t>“</w:t>
      </w:r>
      <w:r w:rsidRPr="007776FB">
        <w:rPr>
          <w:rFonts w:eastAsia="仿宋_GB2312"/>
          <w:sz w:val="32"/>
        </w:rPr>
        <w:t>生产基地</w:t>
      </w:r>
      <w:r w:rsidRPr="007776FB">
        <w:rPr>
          <w:rFonts w:eastAsia="仿宋_GB2312"/>
          <w:sz w:val="32"/>
        </w:rPr>
        <w:t>+</w:t>
      </w:r>
      <w:r w:rsidRPr="007776FB">
        <w:rPr>
          <w:rFonts w:eastAsia="仿宋_GB2312"/>
          <w:sz w:val="32"/>
        </w:rPr>
        <w:t>中央厨房</w:t>
      </w:r>
      <w:r w:rsidRPr="007776FB">
        <w:rPr>
          <w:rFonts w:eastAsia="仿宋_GB2312"/>
          <w:sz w:val="32"/>
        </w:rPr>
        <w:t>+</w:t>
      </w:r>
      <w:r w:rsidRPr="007776FB">
        <w:rPr>
          <w:rFonts w:eastAsia="仿宋_GB2312"/>
          <w:sz w:val="32"/>
        </w:rPr>
        <w:t>餐饮门店</w:t>
      </w:r>
      <w:r w:rsidRPr="007776FB">
        <w:rPr>
          <w:rFonts w:eastAsia="仿宋_GB2312"/>
          <w:sz w:val="32"/>
        </w:rPr>
        <w:t>”“</w:t>
      </w:r>
      <w:r w:rsidRPr="007776FB">
        <w:rPr>
          <w:rFonts w:eastAsia="仿宋_GB2312"/>
          <w:sz w:val="32"/>
        </w:rPr>
        <w:t>生产基地</w:t>
      </w:r>
      <w:r w:rsidRPr="007776FB">
        <w:rPr>
          <w:rFonts w:eastAsia="仿宋_GB2312"/>
          <w:sz w:val="32"/>
        </w:rPr>
        <w:t>+</w:t>
      </w:r>
      <w:r w:rsidRPr="007776FB">
        <w:rPr>
          <w:rFonts w:eastAsia="仿宋_GB2312"/>
          <w:sz w:val="32"/>
        </w:rPr>
        <w:t>加工企业</w:t>
      </w:r>
      <w:r w:rsidRPr="007776FB">
        <w:rPr>
          <w:rFonts w:eastAsia="仿宋_GB2312"/>
          <w:sz w:val="32"/>
        </w:rPr>
        <w:t>+</w:t>
      </w:r>
      <w:r w:rsidRPr="007776FB">
        <w:rPr>
          <w:rFonts w:eastAsia="仿宋_GB2312"/>
          <w:sz w:val="32"/>
        </w:rPr>
        <w:t>电商销售</w:t>
      </w:r>
      <w:r w:rsidRPr="007776FB">
        <w:rPr>
          <w:rFonts w:eastAsia="仿宋_GB2312"/>
          <w:sz w:val="32"/>
        </w:rPr>
        <w:t>”“</w:t>
      </w:r>
      <w:r w:rsidRPr="007776FB">
        <w:rPr>
          <w:rFonts w:eastAsia="仿宋_GB2312"/>
          <w:sz w:val="32"/>
        </w:rPr>
        <w:t>健康数据</w:t>
      </w:r>
      <w:r w:rsidRPr="007776FB">
        <w:rPr>
          <w:rFonts w:eastAsia="仿宋_GB2312"/>
          <w:sz w:val="32"/>
        </w:rPr>
        <w:t>+</w:t>
      </w:r>
      <w:r w:rsidRPr="007776FB">
        <w:rPr>
          <w:rFonts w:eastAsia="仿宋_GB2312"/>
          <w:sz w:val="32"/>
        </w:rPr>
        <w:t>营养配餐</w:t>
      </w:r>
      <w:r w:rsidRPr="007776FB">
        <w:rPr>
          <w:rFonts w:eastAsia="仿宋_GB2312"/>
          <w:sz w:val="32"/>
        </w:rPr>
        <w:t>+</w:t>
      </w:r>
      <w:r w:rsidRPr="007776FB">
        <w:rPr>
          <w:rFonts w:eastAsia="仿宋_GB2312"/>
          <w:sz w:val="32"/>
        </w:rPr>
        <w:t>私人订制</w:t>
      </w:r>
      <w:r w:rsidRPr="007776FB">
        <w:rPr>
          <w:rFonts w:eastAsia="仿宋_GB2312"/>
          <w:sz w:val="32"/>
        </w:rPr>
        <w:t>”</w:t>
      </w:r>
      <w:r w:rsidRPr="007776FB">
        <w:rPr>
          <w:rFonts w:eastAsia="仿宋_GB2312"/>
          <w:sz w:val="32"/>
        </w:rPr>
        <w:t>等模式，完善线上线下销售网络，搭建产销对接平台，加强商超、农贸市场、餐饮企业、电商平台等渠道建设，发展团餐、电子商务等新业态。对接国内一线市场</w:t>
      </w:r>
      <w:r w:rsidRPr="007776FB">
        <w:rPr>
          <w:rFonts w:eastAsia="仿宋_GB2312"/>
          <w:sz w:val="32"/>
        </w:rPr>
        <w:t>,</w:t>
      </w:r>
      <w:r w:rsidRPr="007776FB">
        <w:rPr>
          <w:rFonts w:eastAsia="仿宋_GB2312"/>
          <w:sz w:val="32"/>
        </w:rPr>
        <w:t>设立预制菜体验店、专营店、产品专区。鼓励企业利用各类展会、传统节日、重要活动</w:t>
      </w:r>
      <w:r w:rsidR="00731054">
        <w:rPr>
          <w:rFonts w:eastAsia="仿宋_GB2312" w:hint="eastAsia"/>
          <w:sz w:val="32"/>
        </w:rPr>
        <w:t>，</w:t>
      </w:r>
      <w:r w:rsidRPr="007776FB">
        <w:rPr>
          <w:rFonts w:eastAsia="仿宋_GB2312"/>
          <w:sz w:val="32"/>
        </w:rPr>
        <w:t>开展宣传推介和产销对接，拓展消费市场。（责任单位：市农业农村局、市商务局）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（七）推动行业标准化发展。</w:t>
      </w:r>
      <w:r w:rsidRPr="007776FB">
        <w:rPr>
          <w:rFonts w:eastAsia="仿宋_GB2312"/>
          <w:sz w:val="32"/>
        </w:rPr>
        <w:t>开展预制菜领域标准化研究，提出标准化需求，制定相关标准化工作计划和中长期规划。建立健全从田间到餐桌的预制菜领域标准体系，鼓励和支持有关企业、社会团体和研究机构加快研制预制菜领域的团体标准和地方标准。加强标准的组织实施和监督检查，积极开展标准宣贯，强化标准实效评估，建立健全反馈机制，推动标准动态更新。强化企业食品安全主体责任，支持企业自建实验室。预制菜检验标准发布实施后，组织开展预制菜食品抽检，大力推进</w:t>
      </w:r>
      <w:r w:rsidRPr="007776FB">
        <w:rPr>
          <w:rFonts w:eastAsia="仿宋_GB2312"/>
          <w:sz w:val="32"/>
        </w:rPr>
        <w:t>“</w:t>
      </w:r>
      <w:r w:rsidRPr="007776FB">
        <w:rPr>
          <w:rFonts w:eastAsia="仿宋_GB2312"/>
          <w:sz w:val="32"/>
        </w:rPr>
        <w:t>合格证</w:t>
      </w:r>
      <w:r w:rsidRPr="007776FB">
        <w:rPr>
          <w:rFonts w:eastAsia="仿宋_GB2312"/>
          <w:sz w:val="32"/>
        </w:rPr>
        <w:t>+</w:t>
      </w:r>
      <w:r w:rsidRPr="007776FB">
        <w:rPr>
          <w:rFonts w:eastAsia="仿宋_GB2312"/>
          <w:sz w:val="32"/>
        </w:rPr>
        <w:t>追溯</w:t>
      </w:r>
      <w:r w:rsidRPr="007776FB">
        <w:rPr>
          <w:rFonts w:eastAsia="仿宋_GB2312"/>
          <w:sz w:val="32"/>
        </w:rPr>
        <w:t>”</w:t>
      </w:r>
      <w:r w:rsidRPr="007776FB">
        <w:rPr>
          <w:rFonts w:eastAsia="仿宋_GB2312"/>
          <w:sz w:val="32"/>
        </w:rPr>
        <w:t>管理</w:t>
      </w:r>
      <w:r w:rsidRPr="007776FB">
        <w:rPr>
          <w:rFonts w:eastAsia="仿宋_GB2312"/>
          <w:sz w:val="32"/>
        </w:rPr>
        <w:t>“</w:t>
      </w:r>
      <w:r w:rsidRPr="007776FB">
        <w:rPr>
          <w:rFonts w:eastAsia="仿宋_GB2312"/>
          <w:sz w:val="32"/>
        </w:rPr>
        <w:t>亮证</w:t>
      </w:r>
      <w:r w:rsidRPr="007776FB">
        <w:rPr>
          <w:rFonts w:eastAsia="仿宋_GB2312"/>
          <w:sz w:val="32"/>
        </w:rPr>
        <w:t>”</w:t>
      </w:r>
      <w:r w:rsidRPr="007776FB">
        <w:rPr>
          <w:rFonts w:eastAsia="仿宋_GB2312"/>
          <w:sz w:val="32"/>
        </w:rPr>
        <w:t>行动，维护消费者权益，保障预制菜食品安全。（责任单位：市农业农村局、市市场监管局、市工信局、市商务局、市卫健委等）</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（八）增强研发创新能力。</w:t>
      </w:r>
      <w:r w:rsidRPr="007776FB">
        <w:rPr>
          <w:rFonts w:eastAsia="仿宋_GB2312"/>
          <w:sz w:val="32"/>
        </w:rPr>
        <w:t>挖掘开发地方特色美食。针对不同群体开发适应性产品，打造预制菜</w:t>
      </w:r>
      <w:r w:rsidRPr="007776FB">
        <w:rPr>
          <w:rFonts w:eastAsia="仿宋_GB2312"/>
          <w:sz w:val="32"/>
        </w:rPr>
        <w:t>“</w:t>
      </w:r>
      <w:r w:rsidRPr="007776FB">
        <w:rPr>
          <w:rFonts w:eastAsia="仿宋_GB2312"/>
          <w:sz w:val="32"/>
        </w:rPr>
        <w:t>大单品</w:t>
      </w:r>
      <w:r w:rsidRPr="007776FB">
        <w:rPr>
          <w:rFonts w:eastAsia="仿宋_GB2312"/>
          <w:sz w:val="32"/>
        </w:rPr>
        <w:t>”</w:t>
      </w:r>
      <w:r w:rsidRPr="007776FB">
        <w:rPr>
          <w:rFonts w:eastAsia="仿宋_GB2312"/>
          <w:sz w:val="32"/>
        </w:rPr>
        <w:t>；针对防灾应急、户外运动、露营野炊等需求开发场景化产品。引导专家、技术、成果向企业流动，提供技术转移、科技咨询等全链条科技服务。鼓励科研院所、社会团体与龙头企业联合开展科研攻关，解决企业生产经营中存在的原料生产、贮藏保鲜、产品加工、冷链运输等控制性关键问题。支持企业自建或与高校、科研机构联合建立研发实验室、技术研发中心等创新平台。（责任单位：市科技局、市工信局、市农业农村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（九）提高数字化水平。</w:t>
      </w:r>
      <w:r w:rsidRPr="007776FB">
        <w:rPr>
          <w:rFonts w:eastAsia="仿宋_GB2312"/>
          <w:sz w:val="32"/>
        </w:rPr>
        <w:t>加快全程可追溯数字化信息管理系统建设，整合预制菜生产、加工、销售等环节数字资源，提升供应链效率。开展预制菜工厂、车间、设备的智能化、数字化改造。推动大数据、云计算、工业区块链等新一代信息技术与预制菜产业深度融合，拓展其在预制菜研发、生产、物流、营销等领域的应用，推动市场需求分析、菜品口味调整、原料集中采购、生产柔性控制、广告精准推送、企业电商销售等有机结合。（责任单位：市农业农村局、市工信局、市市场监管局）</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（十）推进产业融合发展。</w:t>
      </w:r>
      <w:r w:rsidRPr="007776FB">
        <w:rPr>
          <w:rFonts w:eastAsia="仿宋_GB2312"/>
          <w:sz w:val="32"/>
        </w:rPr>
        <w:t>积极推动食品类的非物质文化遗产、传统手工技艺开发预制菜产品，强化预制菜产品文化属性，文化赋能预制菜产业发展。推动预制菜企业特色化发展，推出具有地域特色的预制菜产品，加大在文旅产业宣传、重要招商引资等活动中的推介力度。支持预制菜企业在商业区、美食街、旅游景点、美丽乡村建设一批体验店，推进预制菜产业与休闲、旅游、文化、餐饮等产业深度融合。（责任单位</w:t>
      </w:r>
      <w:r w:rsidR="00330C84">
        <w:rPr>
          <w:rFonts w:eastAsia="仿宋_GB2312" w:hint="eastAsia"/>
          <w:sz w:val="32"/>
        </w:rPr>
        <w:t>：</w:t>
      </w:r>
      <w:r w:rsidRPr="007776FB">
        <w:rPr>
          <w:rFonts w:eastAsia="仿宋_GB2312"/>
          <w:sz w:val="32"/>
        </w:rPr>
        <w:t>市文旅局、市农业农村局、市商务局）</w:t>
      </w:r>
    </w:p>
    <w:p w:rsidR="007776FB" w:rsidRPr="007776FB" w:rsidRDefault="007776FB" w:rsidP="007776FB">
      <w:pPr>
        <w:spacing w:line="560" w:lineRule="exact"/>
        <w:ind w:firstLineChars="200" w:firstLine="640"/>
        <w:rPr>
          <w:rFonts w:eastAsia="黑体"/>
        </w:rPr>
      </w:pPr>
      <w:r w:rsidRPr="007776FB">
        <w:rPr>
          <w:rFonts w:eastAsia="黑体"/>
          <w:sz w:val="32"/>
        </w:rPr>
        <w:t>三、组织保障</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（一）强化组织领导</w:t>
      </w:r>
      <w:r w:rsidRPr="007776FB">
        <w:rPr>
          <w:rStyle w:val="2Char"/>
          <w:rFonts w:ascii="Times New Roman" w:eastAsia="楷体_GB2312" w:hAnsi="Times New Roman"/>
        </w:rPr>
        <w:t>。</w:t>
      </w:r>
      <w:r w:rsidRPr="007776FB">
        <w:rPr>
          <w:rFonts w:eastAsia="仿宋_GB2312"/>
          <w:sz w:val="32"/>
        </w:rPr>
        <w:t>由农业农村部门牵头建立预制菜产业高质量发展工作联席会议制度，健全工作机制，加强监测管理，做好服务指导。鼓励各地各部门加大对预制菜产业的支持力度，搭建平台、出台政策、形成合力。</w:t>
      </w:r>
    </w:p>
    <w:p w:rsidR="007776FB" w:rsidRPr="007776FB" w:rsidRDefault="007776FB" w:rsidP="007776FB">
      <w:pPr>
        <w:spacing w:line="560" w:lineRule="exact"/>
        <w:ind w:firstLineChars="200" w:firstLine="640"/>
        <w:rPr>
          <w:rFonts w:eastAsia="仿宋_GB2312"/>
          <w:spacing w:val="-4"/>
        </w:rPr>
      </w:pPr>
      <w:r w:rsidRPr="007776FB">
        <w:rPr>
          <w:rStyle w:val="2Char"/>
          <w:rFonts w:ascii="Times New Roman" w:eastAsia="楷体_GB2312" w:hAnsi="Times New Roman"/>
          <w:b w:val="0"/>
        </w:rPr>
        <w:t>（</w:t>
      </w:r>
      <w:r w:rsidRPr="007776FB">
        <w:rPr>
          <w:rStyle w:val="2Char"/>
          <w:rFonts w:ascii="Times New Roman" w:eastAsia="楷体_GB2312" w:hAnsi="Times New Roman"/>
          <w:b w:val="0"/>
          <w:spacing w:val="-4"/>
        </w:rPr>
        <w:t>二）集聚内生发展动力。</w:t>
      </w:r>
      <w:r w:rsidRPr="007776FB">
        <w:rPr>
          <w:rFonts w:eastAsia="仿宋_GB2312"/>
          <w:spacing w:val="-4"/>
          <w:sz w:val="32"/>
        </w:rPr>
        <w:t>支持以预制菜产业链企业为主体，联合行业商（协）会、金融机构、高校、科研院所等成立预制菜产业联盟，对接市场资源、推动标准建设、共建区域品牌。</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（三）加大财税支持力度。</w:t>
      </w:r>
      <w:r w:rsidRPr="007776FB">
        <w:rPr>
          <w:rFonts w:eastAsia="仿宋_GB2312"/>
          <w:sz w:val="32"/>
        </w:rPr>
        <w:t>将预制菜产业纳入重点支持的产业和项目，加大财政资金支持力度，撬动社会资本投资。各地在不形成隐性债务的前提下，支持符合条件的预制菜产业项目申报地方政府专项债券。对符合条件的预制菜企业给予财政贴息支持。积极为企业纾困解难，落实减税降费政策措施。</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（四）强化金融保险服务支持。</w:t>
      </w:r>
      <w:r w:rsidRPr="007776FB">
        <w:rPr>
          <w:rFonts w:eastAsia="仿宋_GB2312"/>
          <w:sz w:val="32"/>
        </w:rPr>
        <w:t>引导金融机构创新信贷服务，创新金融产品，扩大首贷和信用贷款覆盖面，提升金融服务预制菜企业能力。积极探索</w:t>
      </w:r>
      <w:r w:rsidR="00330C84">
        <w:rPr>
          <w:rFonts w:eastAsia="仿宋_GB2312" w:hint="eastAsia"/>
          <w:sz w:val="32"/>
        </w:rPr>
        <w:t>“</w:t>
      </w:r>
      <w:r w:rsidR="00330C84" w:rsidRPr="007776FB">
        <w:rPr>
          <w:rFonts w:eastAsia="仿宋_GB2312"/>
          <w:sz w:val="32"/>
        </w:rPr>
        <w:t>预制菜</w:t>
      </w:r>
      <w:r w:rsidR="00330C84" w:rsidRPr="007776FB">
        <w:rPr>
          <w:rFonts w:eastAsia="仿宋_GB2312"/>
          <w:sz w:val="32"/>
        </w:rPr>
        <w:t>+</w:t>
      </w:r>
      <w:r w:rsidR="00330C84" w:rsidRPr="007776FB">
        <w:rPr>
          <w:rFonts w:eastAsia="仿宋_GB2312"/>
          <w:sz w:val="32"/>
        </w:rPr>
        <w:t>政银担</w:t>
      </w:r>
      <w:r w:rsidR="00330C84">
        <w:rPr>
          <w:rFonts w:eastAsia="仿宋_GB2312" w:hint="eastAsia"/>
          <w:sz w:val="32"/>
        </w:rPr>
        <w:t>”</w:t>
      </w:r>
      <w:r w:rsidRPr="007776FB">
        <w:rPr>
          <w:rFonts w:eastAsia="仿宋_GB2312"/>
          <w:sz w:val="32"/>
        </w:rPr>
        <w:t>信贷新模式，大力发展预制菜产业供应链金融。鼓励保险机构为预制菜产业链企业定制专属保险产品。</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（五）用好产业用地政策。</w:t>
      </w:r>
      <w:r w:rsidRPr="007776FB">
        <w:rPr>
          <w:rFonts w:eastAsia="仿宋_GB2312"/>
          <w:sz w:val="32"/>
        </w:rPr>
        <w:t>将预制菜产业发展用地优先纳入乡村产业融合发展项目年度用地计划保障范围，在每年不少于</w:t>
      </w:r>
      <w:r w:rsidRPr="007776FB">
        <w:rPr>
          <w:rFonts w:eastAsia="仿宋_GB2312"/>
          <w:sz w:val="32"/>
        </w:rPr>
        <w:t>5%</w:t>
      </w:r>
      <w:r w:rsidRPr="007776FB">
        <w:rPr>
          <w:rFonts w:eastAsia="仿宋_GB2312"/>
          <w:sz w:val="32"/>
        </w:rPr>
        <w:t>的新增建设用地指标内重点保障，优化用地审批和规划许可流程，优先安排新增建设用地计划。</w:t>
      </w:r>
    </w:p>
    <w:p w:rsidR="007776FB" w:rsidRPr="007776FB" w:rsidRDefault="007776FB" w:rsidP="007776FB">
      <w:pPr>
        <w:spacing w:line="560" w:lineRule="exact"/>
        <w:ind w:firstLineChars="200" w:firstLine="640"/>
        <w:rPr>
          <w:rFonts w:eastAsia="仿宋_GB2312"/>
        </w:rPr>
      </w:pPr>
      <w:r w:rsidRPr="007776FB">
        <w:rPr>
          <w:rStyle w:val="2Char"/>
          <w:rFonts w:ascii="Times New Roman" w:eastAsia="楷体_GB2312" w:hAnsi="Times New Roman"/>
          <w:b w:val="0"/>
        </w:rPr>
        <w:t>（六）营造良好发展氛围。</w:t>
      </w:r>
      <w:r w:rsidRPr="007776FB">
        <w:rPr>
          <w:rFonts w:eastAsia="仿宋_GB2312"/>
          <w:sz w:val="32"/>
        </w:rPr>
        <w:t>充分利用报纸、网站、新媒体、自媒体等各类媒体手段，组织开展系列宣传报道，引导消费新趋势，提高品牌美誉度、影响力、认可度，营造预制菜产业发展的良好氛围。</w:t>
      </w:r>
    </w:p>
    <w:p w:rsidR="007776FB" w:rsidRPr="007776FB" w:rsidRDefault="007776FB" w:rsidP="007776FB">
      <w:pPr>
        <w:spacing w:line="560" w:lineRule="exact"/>
        <w:rPr>
          <w:rFonts w:eastAsia="仿宋_GB2312"/>
        </w:rPr>
      </w:pPr>
    </w:p>
    <w:p w:rsidR="007776FB" w:rsidRPr="007776FB" w:rsidRDefault="007776FB" w:rsidP="007776FB">
      <w:pPr>
        <w:spacing w:line="560" w:lineRule="exact"/>
        <w:ind w:firstLineChars="200" w:firstLine="420"/>
        <w:jc w:val="right"/>
        <w:rPr>
          <w:rFonts w:eastAsia="仿宋_GB2312"/>
        </w:rPr>
      </w:pPr>
    </w:p>
    <w:p w:rsidR="007776FB" w:rsidRPr="007776FB" w:rsidRDefault="007776FB" w:rsidP="007776FB">
      <w:pPr>
        <w:wordWrap w:val="0"/>
        <w:spacing w:line="560" w:lineRule="exact"/>
        <w:jc w:val="right"/>
        <w:rPr>
          <w:rFonts w:eastAsia="仿宋_GB2312"/>
        </w:rPr>
      </w:pPr>
      <w:r w:rsidRPr="007776FB">
        <w:rPr>
          <w:rFonts w:eastAsia="仿宋_GB2312"/>
          <w:sz w:val="32"/>
        </w:rPr>
        <w:t>忻州市人民政府办公室</w:t>
      </w:r>
      <w:r>
        <w:rPr>
          <w:rFonts w:eastAsia="仿宋_GB2312" w:hint="eastAsia"/>
          <w:sz w:val="32"/>
        </w:rPr>
        <w:t xml:space="preserve">       </w:t>
      </w:r>
    </w:p>
    <w:p w:rsidR="007776FB" w:rsidRPr="007776FB" w:rsidRDefault="007776FB" w:rsidP="007776FB">
      <w:pPr>
        <w:wordWrap w:val="0"/>
        <w:spacing w:line="560" w:lineRule="exact"/>
        <w:jc w:val="right"/>
        <w:rPr>
          <w:rFonts w:eastAsia="仿宋_GB2312"/>
        </w:rPr>
      </w:pPr>
      <w:r w:rsidRPr="007776FB">
        <w:rPr>
          <w:rFonts w:eastAsia="仿宋_GB2312"/>
          <w:sz w:val="32"/>
        </w:rPr>
        <w:t>2023</w:t>
      </w:r>
      <w:r w:rsidRPr="007776FB">
        <w:rPr>
          <w:rFonts w:eastAsia="仿宋_GB2312"/>
          <w:sz w:val="32"/>
        </w:rPr>
        <w:t>年</w:t>
      </w:r>
      <w:r w:rsidRPr="007776FB">
        <w:rPr>
          <w:rFonts w:eastAsia="仿宋_GB2312"/>
          <w:sz w:val="32"/>
        </w:rPr>
        <w:t>10</w:t>
      </w:r>
      <w:r w:rsidRPr="007776FB">
        <w:rPr>
          <w:rFonts w:eastAsia="仿宋_GB2312"/>
          <w:sz w:val="32"/>
        </w:rPr>
        <w:t>月</w:t>
      </w:r>
      <w:r w:rsidRPr="007776FB">
        <w:rPr>
          <w:rFonts w:eastAsia="仿宋_GB2312"/>
          <w:sz w:val="32"/>
        </w:rPr>
        <w:t>13</w:t>
      </w:r>
      <w:bookmarkStart w:id="0" w:name="_GoBack"/>
      <w:bookmarkEnd w:id="0"/>
      <w:r w:rsidRPr="007776FB">
        <w:rPr>
          <w:rFonts w:eastAsia="仿宋_GB2312"/>
          <w:sz w:val="32"/>
        </w:rPr>
        <w:t>日</w:t>
      </w:r>
      <w:r>
        <w:rPr>
          <w:rFonts w:eastAsia="仿宋_GB2312" w:hint="eastAsia"/>
          <w:sz w:val="32"/>
        </w:rPr>
        <w:t xml:space="preserve">        </w:t>
      </w:r>
    </w:p>
    <w:p w:rsidR="007776FB" w:rsidRPr="007776FB" w:rsidRDefault="007776FB" w:rsidP="00330C84">
      <w:pPr>
        <w:spacing w:line="560" w:lineRule="exact"/>
        <w:ind w:firstLineChars="200" w:firstLine="640"/>
        <w:rPr>
          <w:rFonts w:eastAsia="仿宋_GB2312"/>
        </w:rPr>
      </w:pPr>
      <w:r w:rsidRPr="007776FB">
        <w:rPr>
          <w:rFonts w:eastAsia="仿宋_GB2312"/>
          <w:sz w:val="32"/>
        </w:rPr>
        <w:t>（此件公开发布）</w:t>
      </w:r>
    </w:p>
    <w:p w:rsidR="003A44FF" w:rsidRPr="007776FB" w:rsidRDefault="003A44FF" w:rsidP="007776FB">
      <w:pPr>
        <w:spacing w:line="560" w:lineRule="exact"/>
        <w:rPr>
          <w:rFonts w:eastAsia="仿宋_GB2312"/>
          <w:color w:val="000000"/>
          <w:sz w:val="32"/>
          <w:szCs w:val="32"/>
        </w:rPr>
      </w:pPr>
    </w:p>
    <w:p w:rsidR="003A44FF" w:rsidRPr="007776FB" w:rsidRDefault="003A44FF" w:rsidP="007776FB">
      <w:pPr>
        <w:spacing w:line="560" w:lineRule="exact"/>
        <w:rPr>
          <w:rFonts w:eastAsia="仿宋_GB2312"/>
          <w:color w:val="000000"/>
          <w:sz w:val="32"/>
          <w:szCs w:val="32"/>
        </w:rPr>
      </w:pPr>
    </w:p>
    <w:p w:rsidR="003A44FF" w:rsidRPr="007776FB" w:rsidRDefault="003A44FF" w:rsidP="007776FB">
      <w:pPr>
        <w:spacing w:line="560" w:lineRule="exact"/>
        <w:rPr>
          <w:rFonts w:eastAsia="仿宋_GB2312"/>
          <w:color w:val="000000"/>
          <w:sz w:val="32"/>
          <w:szCs w:val="32"/>
        </w:rPr>
      </w:pPr>
    </w:p>
    <w:p w:rsidR="003A44FF" w:rsidRPr="007776FB" w:rsidRDefault="003A44FF" w:rsidP="007776FB">
      <w:pPr>
        <w:spacing w:line="560" w:lineRule="exact"/>
        <w:rPr>
          <w:rFonts w:eastAsia="仿宋_GB2312"/>
          <w:color w:val="000000"/>
          <w:sz w:val="32"/>
          <w:szCs w:val="32"/>
        </w:rPr>
      </w:pPr>
    </w:p>
    <w:p w:rsidR="00F00D81" w:rsidRPr="007776FB" w:rsidRDefault="00F00D81" w:rsidP="007776FB">
      <w:pPr>
        <w:spacing w:line="560" w:lineRule="exact"/>
        <w:rPr>
          <w:rFonts w:eastAsia="仿宋_GB2312"/>
          <w:color w:val="000000"/>
          <w:sz w:val="32"/>
          <w:szCs w:val="32"/>
        </w:rPr>
      </w:pPr>
    </w:p>
    <w:p w:rsidR="00F00D81" w:rsidRPr="007776FB" w:rsidRDefault="00F00D81" w:rsidP="007776FB">
      <w:pPr>
        <w:spacing w:line="560" w:lineRule="exact"/>
        <w:rPr>
          <w:rFonts w:eastAsia="仿宋_GB2312"/>
          <w:color w:val="000000"/>
          <w:sz w:val="32"/>
          <w:szCs w:val="32"/>
        </w:rPr>
      </w:pPr>
    </w:p>
    <w:p w:rsidR="00F00D81" w:rsidRPr="007776FB" w:rsidRDefault="00F00D81" w:rsidP="007776FB">
      <w:pPr>
        <w:spacing w:line="560" w:lineRule="exact"/>
        <w:rPr>
          <w:rFonts w:eastAsia="仿宋_GB2312"/>
          <w:color w:val="000000"/>
          <w:sz w:val="32"/>
          <w:szCs w:val="32"/>
        </w:rPr>
      </w:pPr>
    </w:p>
    <w:p w:rsidR="00F00D81" w:rsidRPr="007776FB" w:rsidRDefault="00F00D81" w:rsidP="007776FB">
      <w:pPr>
        <w:spacing w:line="560" w:lineRule="exact"/>
        <w:rPr>
          <w:rFonts w:eastAsia="仿宋_GB2312"/>
          <w:color w:val="000000"/>
          <w:sz w:val="32"/>
          <w:szCs w:val="32"/>
        </w:rPr>
      </w:pPr>
    </w:p>
    <w:p w:rsidR="00F00D81" w:rsidRPr="007776FB" w:rsidRDefault="00F00D81" w:rsidP="007776FB">
      <w:pPr>
        <w:spacing w:line="560" w:lineRule="exact"/>
        <w:rPr>
          <w:rFonts w:eastAsia="仿宋_GB2312"/>
          <w:color w:val="000000"/>
          <w:sz w:val="32"/>
          <w:szCs w:val="32"/>
        </w:rPr>
      </w:pPr>
    </w:p>
    <w:p w:rsidR="003A44FF" w:rsidRPr="007776FB" w:rsidRDefault="003A44FF" w:rsidP="007776FB">
      <w:pPr>
        <w:spacing w:line="560" w:lineRule="exact"/>
        <w:rPr>
          <w:rFonts w:eastAsia="仿宋_GB2312"/>
          <w:color w:val="000000"/>
          <w:sz w:val="32"/>
          <w:szCs w:val="32"/>
        </w:rPr>
      </w:pPr>
    </w:p>
    <w:p w:rsidR="003A44FF" w:rsidRPr="007776FB" w:rsidRDefault="003A44FF" w:rsidP="007776FB">
      <w:pPr>
        <w:spacing w:line="560" w:lineRule="exact"/>
        <w:rPr>
          <w:rFonts w:eastAsia="仿宋_GB2312"/>
          <w:color w:val="000000"/>
          <w:sz w:val="32"/>
          <w:szCs w:val="32"/>
        </w:rPr>
      </w:pPr>
    </w:p>
    <w:p w:rsidR="00F41C2F" w:rsidRPr="007776FB" w:rsidRDefault="00F41C2F" w:rsidP="007776FB">
      <w:pPr>
        <w:spacing w:line="560" w:lineRule="exact"/>
        <w:rPr>
          <w:rFonts w:eastAsia="仿宋_GB2312"/>
          <w:color w:val="000000"/>
          <w:sz w:val="32"/>
          <w:szCs w:val="32"/>
        </w:rPr>
      </w:pPr>
    </w:p>
    <w:p w:rsidR="008174D9" w:rsidRPr="007776FB" w:rsidRDefault="008174D9" w:rsidP="007776FB">
      <w:pPr>
        <w:spacing w:line="560" w:lineRule="exact"/>
        <w:rPr>
          <w:rFonts w:eastAsia="仿宋_GB2312"/>
          <w:color w:val="000000"/>
          <w:sz w:val="32"/>
          <w:szCs w:val="32"/>
        </w:rPr>
      </w:pPr>
    </w:p>
    <w:p w:rsidR="008174D9" w:rsidRPr="007776FB" w:rsidRDefault="008174D9" w:rsidP="007776FB">
      <w:pPr>
        <w:spacing w:line="560" w:lineRule="exact"/>
        <w:rPr>
          <w:rFonts w:eastAsia="仿宋_GB2312"/>
          <w:color w:val="000000"/>
          <w:sz w:val="32"/>
          <w:szCs w:val="32"/>
        </w:rPr>
      </w:pPr>
    </w:p>
    <w:p w:rsidR="008174D9" w:rsidRPr="007776FB" w:rsidRDefault="008174D9" w:rsidP="007776FB">
      <w:pPr>
        <w:spacing w:line="560" w:lineRule="exact"/>
        <w:rPr>
          <w:rFonts w:eastAsia="仿宋_GB2312"/>
          <w:color w:val="000000"/>
          <w:sz w:val="32"/>
          <w:szCs w:val="32"/>
        </w:rPr>
      </w:pPr>
    </w:p>
    <w:p w:rsidR="008174D9" w:rsidRDefault="008174D9"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Default="007776FB" w:rsidP="007776FB">
      <w:pPr>
        <w:spacing w:line="560" w:lineRule="exact"/>
        <w:rPr>
          <w:rFonts w:eastAsia="仿宋_GB2312" w:hint="eastAsia"/>
          <w:color w:val="000000"/>
          <w:sz w:val="32"/>
          <w:szCs w:val="32"/>
        </w:rPr>
      </w:pPr>
    </w:p>
    <w:p w:rsidR="007776FB" w:rsidRPr="007776FB" w:rsidRDefault="007776FB" w:rsidP="007776FB">
      <w:pPr>
        <w:spacing w:line="560" w:lineRule="exact"/>
        <w:rPr>
          <w:rFonts w:eastAsia="仿宋_GB2312"/>
          <w:color w:val="000000"/>
          <w:sz w:val="32"/>
          <w:szCs w:val="32"/>
        </w:rPr>
      </w:pPr>
    </w:p>
    <w:p w:rsidR="008174D9" w:rsidRDefault="008174D9">
      <w:pPr>
        <w:spacing w:line="60" w:lineRule="exact"/>
        <w:rPr>
          <w:rFonts w:eastAsia="仿宋_GB2312"/>
          <w:color w:val="000000"/>
          <w:sz w:val="32"/>
          <w:szCs w:val="32"/>
        </w:rPr>
      </w:pPr>
    </w:p>
    <w:p w:rsidR="008174D9" w:rsidRDefault="008174D9">
      <w:pPr>
        <w:spacing w:line="60" w:lineRule="exact"/>
        <w:rPr>
          <w:rFonts w:eastAsia="仿宋_GB2312"/>
          <w:color w:val="000000"/>
          <w:sz w:val="32"/>
          <w:szCs w:val="32"/>
        </w:rPr>
      </w:pPr>
    </w:p>
    <w:p w:rsidR="008174D9" w:rsidRDefault="008174D9">
      <w:pPr>
        <w:spacing w:line="60" w:lineRule="exact"/>
        <w:rPr>
          <w:rFonts w:eastAsia="仿宋_GB2312" w:hint="eastAsia"/>
          <w:color w:val="000000"/>
          <w:sz w:val="32"/>
          <w:szCs w:val="32"/>
        </w:rPr>
      </w:pPr>
    </w:p>
    <w:p w:rsidR="007776FB" w:rsidRDefault="007776FB">
      <w:pPr>
        <w:spacing w:line="60" w:lineRule="exact"/>
        <w:rPr>
          <w:rFonts w:eastAsia="仿宋_GB2312" w:hint="eastAsia"/>
          <w:color w:val="000000"/>
          <w:sz w:val="32"/>
          <w:szCs w:val="32"/>
        </w:rPr>
      </w:pPr>
    </w:p>
    <w:p w:rsidR="007776FB" w:rsidRDefault="007776FB">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8A0D96">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8A0D96">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7776FB">
        <w:rPr>
          <w:rFonts w:eastAsia="仿宋_GB2312" w:hint="eastAsia"/>
          <w:color w:val="000000"/>
          <w:kern w:val="0"/>
          <w:sz w:val="28"/>
          <w:szCs w:val="28"/>
        </w:rPr>
        <w:t>10</w:t>
      </w:r>
      <w:r w:rsidR="007B4545" w:rsidRPr="001E28B1">
        <w:rPr>
          <w:rFonts w:eastAsia="仿宋_GB2312"/>
          <w:color w:val="000000"/>
          <w:kern w:val="0"/>
          <w:sz w:val="28"/>
          <w:szCs w:val="28"/>
        </w:rPr>
        <w:t>月</w:t>
      </w:r>
      <w:r w:rsidR="007776FB">
        <w:rPr>
          <w:rFonts w:eastAsia="仿宋_GB2312" w:hint="eastAsia"/>
          <w:color w:val="000000"/>
          <w:kern w:val="0"/>
          <w:sz w:val="28"/>
          <w:szCs w:val="28"/>
        </w:rPr>
        <w:t>13</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180B7C">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3592195</wp:posOffset>
            </wp:positionH>
            <wp:positionV relativeFrom="paragraph">
              <wp:posOffset>321945</wp:posOffset>
            </wp:positionV>
            <wp:extent cx="2028825" cy="590550"/>
            <wp:effectExtent l="19050" t="0" r="9525" b="0"/>
            <wp:wrapNone/>
            <wp:docPr id="2" name="图片 1" descr="C:\Users\Administrator\Desktop\20231013171856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31013171856_00001.jpg"/>
                    <pic:cNvPicPr>
                      <a:picLocks noChangeAspect="1" noChangeArrowheads="1"/>
                    </pic:cNvPicPr>
                  </pic:nvPicPr>
                  <pic:blipFill>
                    <a:blip r:embed="rId9" cstate="print"/>
                    <a:srcRect/>
                    <a:stretch>
                      <a:fillRect/>
                    </a:stretch>
                  </pic:blipFill>
                  <pic:spPr bwMode="auto">
                    <a:xfrm>
                      <a:off x="0" y="0"/>
                      <a:ext cx="2028825" cy="590550"/>
                    </a:xfrm>
                    <a:prstGeom prst="rect">
                      <a:avLst/>
                    </a:prstGeom>
                    <a:noFill/>
                    <a:ln w="9525">
                      <a:noFill/>
                      <a:miter lim="800000"/>
                      <a:headEnd/>
                      <a:tailEnd/>
                    </a:ln>
                  </pic:spPr>
                </pic:pic>
              </a:graphicData>
            </a:graphic>
          </wp:anchor>
        </w:drawing>
      </w:r>
      <w:r w:rsidR="008A0D96" w:rsidRPr="008A0D96">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F00D81">
        <w:rPr>
          <w:rFonts w:eastAsia="仿宋_GB2312" w:hint="eastAsia"/>
          <w:color w:val="000000"/>
          <w:kern w:val="0"/>
          <w:sz w:val="28"/>
          <w:szCs w:val="28"/>
        </w:rPr>
        <w:t xml:space="preserve"> </w:t>
      </w:r>
      <w:r w:rsidR="007B4545" w:rsidRPr="001E28B1">
        <w:rPr>
          <w:rFonts w:eastAsia="仿宋_GB2312"/>
          <w:color w:val="000000"/>
          <w:kern w:val="0"/>
          <w:sz w:val="28"/>
          <w:szCs w:val="28"/>
        </w:rPr>
        <w:t>共印</w:t>
      </w:r>
      <w:r w:rsidR="00330C84">
        <w:rPr>
          <w:rFonts w:eastAsia="仿宋_GB2312" w:hint="eastAsia"/>
          <w:color w:val="000000"/>
          <w:kern w:val="0"/>
          <w:sz w:val="28"/>
          <w:szCs w:val="28"/>
        </w:rPr>
        <w:t>90</w:t>
      </w:r>
      <w:r w:rsidR="007B4545" w:rsidRPr="001E28B1">
        <w:rPr>
          <w:rFonts w:eastAsia="仿宋_GB2312"/>
          <w:color w:val="000000"/>
          <w:kern w:val="0"/>
          <w:sz w:val="28"/>
          <w:szCs w:val="28"/>
        </w:rPr>
        <w:t>份</w:t>
      </w:r>
    </w:p>
    <w:sectPr w:rsidR="00567D99" w:rsidRPr="001E28B1" w:rsidSect="007776FB">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A96" w:rsidRDefault="00403A96" w:rsidP="00C66F02">
      <w:r>
        <w:separator/>
      </w:r>
    </w:p>
  </w:endnote>
  <w:endnote w:type="continuationSeparator" w:id="0">
    <w:p w:rsidR="00403A96" w:rsidRDefault="00403A96"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charset w:val="86"/>
    <w:family w:val="auto"/>
    <w:pitch w:val="default"/>
    <w:sig w:usb0="00000001" w:usb1="08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1"/>
      <w:docPartObj>
        <w:docPartGallery w:val="Page Numbers (Bottom of Page)"/>
        <w:docPartUnique/>
      </w:docPartObj>
    </w:sdtPr>
    <w:sdtEndPr>
      <w:rPr>
        <w:rFonts w:asciiTheme="minorEastAsia" w:eastAsiaTheme="minorEastAsia" w:hAnsiTheme="minorEastAsia"/>
        <w:sz w:val="24"/>
      </w:rPr>
    </w:sdtEndPr>
    <w:sdtContent>
      <w:p w:rsidR="00D760AB" w:rsidRDefault="008A0D96">
        <w:pPr>
          <w:pStyle w:val="ac"/>
        </w:pPr>
        <w:r w:rsidRPr="00D760AB">
          <w:rPr>
            <w:rFonts w:asciiTheme="minorEastAsia" w:eastAsiaTheme="minorEastAsia" w:hAnsiTheme="minorEastAsia"/>
            <w:sz w:val="24"/>
          </w:rPr>
          <w:fldChar w:fldCharType="begin"/>
        </w:r>
        <w:r w:rsidR="00D760AB"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731054" w:rsidRPr="00731054">
          <w:rPr>
            <w:rFonts w:asciiTheme="minorEastAsia" w:eastAsiaTheme="minorEastAsia" w:hAnsiTheme="minorEastAsia"/>
            <w:noProof/>
            <w:sz w:val="24"/>
            <w:lang w:val="zh-CN"/>
          </w:rPr>
          <w:t>-</w:t>
        </w:r>
        <w:r w:rsidR="00731054">
          <w:rPr>
            <w:rFonts w:asciiTheme="minorEastAsia" w:eastAsiaTheme="minorEastAsia" w:hAnsiTheme="minorEastAsia"/>
            <w:noProof/>
            <w:sz w:val="24"/>
          </w:rPr>
          <w:t xml:space="preserve"> 6 -</w:t>
        </w:r>
        <w:r w:rsidRPr="00D760AB">
          <w:rPr>
            <w:rFonts w:asciiTheme="minorEastAsia" w:eastAsiaTheme="minorEastAsia" w:hAnsiTheme="minorEastAsia"/>
            <w:sz w:val="24"/>
          </w:rPr>
          <w:fldChar w:fldCharType="end"/>
        </w:r>
      </w:p>
    </w:sdtContent>
  </w:sdt>
  <w:p w:rsidR="008033FB" w:rsidRDefault="008033FB"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5433"/>
      <w:docPartObj>
        <w:docPartGallery w:val="Page Numbers (Bottom of Page)"/>
        <w:docPartUnique/>
      </w:docPartObj>
    </w:sdtPr>
    <w:sdtContent>
      <w:p w:rsidR="007776FB" w:rsidRDefault="007776FB">
        <w:pPr>
          <w:pStyle w:val="ac"/>
          <w:jc w:val="right"/>
        </w:pPr>
        <w:r w:rsidRPr="007776FB">
          <w:rPr>
            <w:rFonts w:asciiTheme="minorEastAsia" w:eastAsiaTheme="minorEastAsia" w:hAnsiTheme="minorEastAsia"/>
            <w:sz w:val="24"/>
          </w:rPr>
          <w:fldChar w:fldCharType="begin"/>
        </w:r>
        <w:r w:rsidRPr="007776FB">
          <w:rPr>
            <w:rFonts w:asciiTheme="minorEastAsia" w:eastAsiaTheme="minorEastAsia" w:hAnsiTheme="minorEastAsia"/>
            <w:sz w:val="24"/>
          </w:rPr>
          <w:instrText xml:space="preserve"> PAGE   \* MERGEFORMAT </w:instrText>
        </w:r>
        <w:r w:rsidRPr="007776FB">
          <w:rPr>
            <w:rFonts w:asciiTheme="minorEastAsia" w:eastAsiaTheme="minorEastAsia" w:hAnsiTheme="minorEastAsia"/>
            <w:sz w:val="24"/>
          </w:rPr>
          <w:fldChar w:fldCharType="separate"/>
        </w:r>
        <w:r w:rsidR="00731054" w:rsidRPr="00731054">
          <w:rPr>
            <w:rFonts w:asciiTheme="minorEastAsia" w:eastAsiaTheme="minorEastAsia" w:hAnsiTheme="minorEastAsia"/>
            <w:noProof/>
            <w:sz w:val="24"/>
            <w:lang w:val="zh-CN"/>
          </w:rPr>
          <w:t>-</w:t>
        </w:r>
        <w:r w:rsidR="00731054">
          <w:rPr>
            <w:rFonts w:asciiTheme="minorEastAsia" w:eastAsiaTheme="minorEastAsia" w:hAnsiTheme="minorEastAsia"/>
            <w:noProof/>
            <w:sz w:val="24"/>
          </w:rPr>
          <w:t xml:space="preserve"> 5 -</w:t>
        </w:r>
        <w:r w:rsidRPr="007776FB">
          <w:rPr>
            <w:rFonts w:asciiTheme="minorEastAsia" w:eastAsiaTheme="minorEastAsia" w:hAnsiTheme="minorEastAsia"/>
            <w:sz w:val="24"/>
          </w:rPr>
          <w:fldChar w:fldCharType="end"/>
        </w:r>
      </w:p>
    </w:sdtContent>
  </w:sdt>
  <w:p w:rsidR="00D760AB" w:rsidRDefault="00D760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6FB" w:rsidRDefault="007776FB">
    <w:pPr>
      <w:pStyle w:val="ac"/>
      <w:jc w:val="right"/>
    </w:pPr>
  </w:p>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A96" w:rsidRDefault="00403A96" w:rsidP="00C66F02">
      <w:r>
        <w:separator/>
      </w:r>
    </w:p>
  </w:footnote>
  <w:footnote w:type="continuationSeparator" w:id="0">
    <w:p w:rsidR="00403A96" w:rsidRDefault="00403A96"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7203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87D21"/>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294"/>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0B7C"/>
    <w:rsid w:val="00182278"/>
    <w:rsid w:val="00183E4B"/>
    <w:rsid w:val="0018497A"/>
    <w:rsid w:val="00184D22"/>
    <w:rsid w:val="00185C8C"/>
    <w:rsid w:val="00185CC5"/>
    <w:rsid w:val="00190361"/>
    <w:rsid w:val="001904D1"/>
    <w:rsid w:val="00190820"/>
    <w:rsid w:val="00190970"/>
    <w:rsid w:val="0019139C"/>
    <w:rsid w:val="00191F16"/>
    <w:rsid w:val="00192A0D"/>
    <w:rsid w:val="00192E87"/>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DB9"/>
    <w:rsid w:val="00270F53"/>
    <w:rsid w:val="002716BE"/>
    <w:rsid w:val="002729AD"/>
    <w:rsid w:val="00273498"/>
    <w:rsid w:val="0027510E"/>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84"/>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61C"/>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5EE1"/>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2D29"/>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3A96"/>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2CE"/>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054"/>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6FB"/>
    <w:rsid w:val="00777A86"/>
    <w:rsid w:val="007800D7"/>
    <w:rsid w:val="007804E4"/>
    <w:rsid w:val="007808DF"/>
    <w:rsid w:val="007822EE"/>
    <w:rsid w:val="0078284D"/>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BA9"/>
    <w:rsid w:val="00816D94"/>
    <w:rsid w:val="00816EBA"/>
    <w:rsid w:val="008174D9"/>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3CA"/>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0B35"/>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0BE5"/>
    <w:rsid w:val="008910C5"/>
    <w:rsid w:val="00891D46"/>
    <w:rsid w:val="00893900"/>
    <w:rsid w:val="00894CC5"/>
    <w:rsid w:val="00894FCD"/>
    <w:rsid w:val="00896217"/>
    <w:rsid w:val="0089679F"/>
    <w:rsid w:val="008969BB"/>
    <w:rsid w:val="00896BCC"/>
    <w:rsid w:val="00897CFD"/>
    <w:rsid w:val="008A00FD"/>
    <w:rsid w:val="008A0C74"/>
    <w:rsid w:val="008A0D96"/>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785"/>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3D9"/>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6E"/>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12EA"/>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33F"/>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1D"/>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0CD1"/>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52C"/>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1B4B"/>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5790"/>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B7E60"/>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0D81"/>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AF1"/>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4C84"/>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4"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06ECC2-38DD-477A-A393-FBE955365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550</Words>
  <Characters>3136</Characters>
  <Application>Microsoft Office Word</Application>
  <DocSecurity>0</DocSecurity>
  <Lines>26</Lines>
  <Paragraphs>7</Paragraphs>
  <ScaleCrop>false</ScaleCrop>
  <Company>2012dnd.com</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23</cp:revision>
  <cp:lastPrinted>2023-10-13T09:29:00Z</cp:lastPrinted>
  <dcterms:created xsi:type="dcterms:W3CDTF">2023-10-13T09:01:00Z</dcterms:created>
  <dcterms:modified xsi:type="dcterms:W3CDTF">2023-10-13T09:48:00Z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