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240" w:lineRule="exact"/>
        <w:ind w:firstLine="640" w:firstLineChars="200"/>
        <w:rPr>
          <w:rFonts w:eastAsia="仿宋_GB2312"/>
          <w:color w:val="000000"/>
          <w:sz w:val="32"/>
          <w:szCs w:val="32"/>
        </w:rPr>
      </w:pPr>
    </w:p>
    <w:p>
      <w:pPr>
        <w:spacing w:line="560" w:lineRule="exact"/>
        <w:jc w:val="center"/>
        <w:rPr>
          <w:rFonts w:eastAsia="仿宋_GB2312"/>
          <w:color w:val="000000"/>
          <w:sz w:val="32"/>
          <w:szCs w:val="32"/>
        </w:rPr>
      </w:pPr>
      <w:r>
        <w:rPr>
          <w:rFonts w:eastAsia="仿宋_GB2312"/>
          <w:color w:val="000000"/>
          <w:sz w:val="32"/>
          <w:szCs w:val="32"/>
        </w:rPr>
        <w:t>忻政办发〔2022〕7</w:t>
      </w:r>
      <w:r>
        <w:rPr>
          <w:rFonts w:hint="eastAsia" w:eastAsia="仿宋_GB2312"/>
          <w:color w:val="000000"/>
          <w:sz w:val="32"/>
          <w:szCs w:val="32"/>
        </w:rPr>
        <w:t>8</w:t>
      </w:r>
      <w:r>
        <w:rPr>
          <w:rFonts w:eastAsia="仿宋_GB2312"/>
          <w:color w:val="000000"/>
          <w:sz w:val="32"/>
          <w:szCs w:val="32"/>
        </w:rPr>
        <w:t>号</w:t>
      </w:r>
    </w:p>
    <w:p>
      <w:pPr>
        <w:spacing w:line="560" w:lineRule="exact"/>
        <w:ind w:firstLine="640" w:firstLineChars="200"/>
        <w:rPr>
          <w:rFonts w:eastAsia="仿宋_GB2312"/>
          <w:color w:val="000000"/>
          <w:sz w:val="32"/>
          <w:szCs w:val="32"/>
        </w:rPr>
      </w:pPr>
    </w:p>
    <w:p>
      <w:pPr>
        <w:spacing w:line="400" w:lineRule="exact"/>
        <w:ind w:firstLine="640" w:firstLineChars="200"/>
        <w:rPr>
          <w:rFonts w:eastAsia="仿宋_GB2312"/>
          <w:color w:val="000000"/>
          <w:sz w:val="32"/>
          <w:szCs w:val="32"/>
        </w:rPr>
      </w:pPr>
    </w:p>
    <w:p>
      <w:pPr>
        <w:spacing w:line="560" w:lineRule="exact"/>
        <w:jc w:val="center"/>
        <w:rPr>
          <w:rFonts w:eastAsia="方正大标宋简体"/>
          <w:sz w:val="44"/>
          <w:szCs w:val="44"/>
        </w:rPr>
      </w:pPr>
      <w:r>
        <w:rPr>
          <w:rFonts w:eastAsia="方正大标宋简体"/>
          <w:sz w:val="44"/>
          <w:szCs w:val="44"/>
        </w:rPr>
        <w:t>忻州市人民政府办公室</w:t>
      </w:r>
    </w:p>
    <w:p>
      <w:pPr>
        <w:spacing w:line="560" w:lineRule="exact"/>
        <w:jc w:val="center"/>
        <w:rPr>
          <w:rFonts w:hint="eastAsia" w:eastAsia="方正大标宋简体"/>
          <w:sz w:val="44"/>
          <w:szCs w:val="44"/>
        </w:rPr>
      </w:pPr>
      <w:r>
        <w:rPr>
          <w:rFonts w:hint="eastAsia" w:eastAsia="方正大标宋简体"/>
          <w:sz w:val="44"/>
          <w:szCs w:val="44"/>
        </w:rPr>
        <w:t>关于全面实行行政许可事项清单管理的</w:t>
      </w:r>
    </w:p>
    <w:p>
      <w:pPr>
        <w:spacing w:line="560" w:lineRule="exact"/>
        <w:jc w:val="center"/>
        <w:rPr>
          <w:rFonts w:hint="eastAsia" w:eastAsia="方正大标宋简体"/>
          <w:sz w:val="44"/>
          <w:szCs w:val="44"/>
        </w:rPr>
      </w:pPr>
      <w:r>
        <w:rPr>
          <w:rFonts w:hint="eastAsia" w:eastAsia="方正大标宋简体"/>
          <w:sz w:val="44"/>
          <w:szCs w:val="44"/>
        </w:rPr>
        <w:t>通  知</w:t>
      </w:r>
    </w:p>
    <w:p>
      <w:pPr>
        <w:pStyle w:val="30"/>
        <w:spacing w:before="0" w:beforeAutospacing="0" w:after="0" w:afterAutospacing="0" w:line="560" w:lineRule="exact"/>
        <w:jc w:val="both"/>
        <w:rPr>
          <w:rFonts w:ascii="Times New Roman" w:hAnsi="Times New Roman" w:eastAsia="sans-serif"/>
          <w:color w:val="000000"/>
          <w:sz w:val="32"/>
          <w:szCs w:val="32"/>
        </w:rPr>
      </w:pPr>
    </w:p>
    <w:p>
      <w:pPr>
        <w:pStyle w:val="30"/>
        <w:spacing w:before="0" w:beforeAutospacing="0" w:after="0" w:afterAutospacing="0" w:line="560" w:lineRule="exact"/>
        <w:jc w:val="both"/>
        <w:rPr>
          <w:rFonts w:ascii="Times New Roman" w:hAnsi="Times New Roman" w:eastAsia="仿宋_GB2312"/>
          <w:color w:val="000000"/>
          <w:sz w:val="32"/>
          <w:szCs w:val="32"/>
        </w:rPr>
      </w:pPr>
      <w:r>
        <w:rPr>
          <w:rFonts w:ascii="Times New Roman" w:hAnsi="Times New Roman" w:eastAsia="仿宋_GB2312"/>
          <w:color w:val="000000"/>
          <w:sz w:val="32"/>
          <w:szCs w:val="32"/>
        </w:rPr>
        <w:t>各县（市、区）人民政府，忻州经济开发区管委会、五台山风景名胜区管委会，市人民政府各委、办、局</w:t>
      </w:r>
      <w:r>
        <w:rPr>
          <w:rFonts w:hint="eastAsia" w:ascii="Times New Roman" w:hAnsi="Times New Roman" w:eastAsia="仿宋_GB2312"/>
          <w:color w:val="000000"/>
          <w:sz w:val="32"/>
          <w:szCs w:val="32"/>
        </w:rPr>
        <w:t>：</w:t>
      </w:r>
    </w:p>
    <w:p>
      <w:pPr>
        <w:widowControl/>
        <w:spacing w:line="560" w:lineRule="exact"/>
        <w:rPr>
          <w:rFonts w:eastAsia="sans-serif"/>
          <w:color w:val="000000"/>
          <w:sz w:val="32"/>
          <w:szCs w:val="32"/>
        </w:rPr>
      </w:pPr>
      <w:r>
        <w:rPr>
          <w:rFonts w:eastAsia="仿宋_GB2312"/>
          <w:color w:val="000000"/>
          <w:kern w:val="0"/>
          <w:sz w:val="32"/>
          <w:szCs w:val="32"/>
        </w:rPr>
        <w:t>　　根据《国务院办公厅关于全面实行行政许可事项清单管理的通知》（国办发〔2022〕2号）和《山西省人民政府办公厅关于全面实行行政许可事项清单管理的通知》</w:t>
      </w:r>
      <w:r>
        <w:rPr>
          <w:rFonts w:hint="eastAsia" w:eastAsia="仿宋_GB2312"/>
          <w:color w:val="000000"/>
          <w:kern w:val="0"/>
          <w:sz w:val="32"/>
          <w:szCs w:val="32"/>
        </w:rPr>
        <w:t>（</w:t>
      </w:r>
      <w:r>
        <w:rPr>
          <w:rFonts w:eastAsia="仿宋_GB2312"/>
          <w:color w:val="000000"/>
          <w:kern w:val="0"/>
          <w:sz w:val="32"/>
          <w:szCs w:val="32"/>
        </w:rPr>
        <w:t>晋政办发〔2022〕75号</w:t>
      </w:r>
      <w:r>
        <w:rPr>
          <w:rFonts w:hint="eastAsia" w:eastAsia="仿宋_GB2312"/>
          <w:color w:val="000000"/>
          <w:kern w:val="0"/>
          <w:sz w:val="32"/>
          <w:szCs w:val="32"/>
        </w:rPr>
        <w:t>）</w:t>
      </w:r>
      <w:r>
        <w:rPr>
          <w:rFonts w:eastAsia="仿宋_GB2312"/>
          <w:color w:val="000000"/>
          <w:kern w:val="0"/>
          <w:sz w:val="32"/>
          <w:szCs w:val="32"/>
        </w:rPr>
        <w:t>精神</w:t>
      </w:r>
      <w:r>
        <w:rPr>
          <w:rFonts w:eastAsia="仿宋_GB2312"/>
          <w:color w:val="000000"/>
          <w:sz w:val="32"/>
          <w:szCs w:val="32"/>
        </w:rPr>
        <w:t>，</w:t>
      </w:r>
      <w:r>
        <w:rPr>
          <w:rFonts w:eastAsia="仿宋_GB2312"/>
          <w:color w:val="000000"/>
          <w:kern w:val="0"/>
          <w:sz w:val="32"/>
          <w:szCs w:val="32"/>
        </w:rPr>
        <w:t>为进一步深化“放管服”改革，优化营商环境，明晰行政许可权力边界，规范行政许可运行，持续推进行政许可标准化、规范化、便利化，经市政府同意，现将我市全面实行行政许可事项清单管理有关工作通知如下。</w:t>
      </w:r>
    </w:p>
    <w:p>
      <w:pPr>
        <w:pStyle w:val="30"/>
        <w:spacing w:before="0" w:beforeAutospacing="0" w:after="0" w:afterAutospacing="0" w:line="560" w:lineRule="exact"/>
        <w:jc w:val="both"/>
        <w:rPr>
          <w:rFonts w:ascii="Times New Roman" w:hAnsi="Times New Roman" w:eastAsia="黑体"/>
          <w:color w:val="000000"/>
          <w:sz w:val="32"/>
          <w:szCs w:val="32"/>
        </w:rPr>
      </w:pPr>
      <w:r>
        <w:rPr>
          <w:rFonts w:ascii="Times New Roman" w:hAnsi="Times New Roman" w:eastAsia="仿宋_GB2312"/>
          <w:color w:val="000000"/>
          <w:sz w:val="32"/>
          <w:szCs w:val="32"/>
        </w:rPr>
        <w:t>　</w:t>
      </w:r>
      <w:r>
        <w:rPr>
          <w:rFonts w:ascii="Times New Roman" w:hAnsi="Times New Roman" w:eastAsia="黑体"/>
          <w:color w:val="000000"/>
          <w:sz w:val="32"/>
          <w:szCs w:val="32"/>
        </w:rPr>
        <w:t>　一、总体要求</w:t>
      </w:r>
    </w:p>
    <w:p>
      <w:pPr>
        <w:pStyle w:val="30"/>
        <w:spacing w:before="0" w:beforeAutospacing="0" w:after="0" w:afterAutospacing="0" w:line="560" w:lineRule="exact"/>
        <w:jc w:val="both"/>
        <w:rPr>
          <w:rFonts w:ascii="Times New Roman" w:hAnsi="Times New Roman" w:eastAsia="sans-serif"/>
          <w:color w:val="000000"/>
          <w:sz w:val="32"/>
          <w:szCs w:val="32"/>
        </w:rPr>
      </w:pPr>
      <w:r>
        <w:rPr>
          <w:rFonts w:ascii="Times New Roman" w:hAnsi="Times New Roman" w:eastAsia="仿宋_GB2312"/>
          <w:color w:val="000000"/>
          <w:sz w:val="32"/>
          <w:szCs w:val="32"/>
        </w:rPr>
        <w:t>　　深入贯彻落实党中央、国务院关于深化“放管服”改革和全面实行行政许可事项清单管理的决策部署，建立统一编制、联合审核、动态管理、全面实施的行政许可事项清单管理机制。2022年底前，编制并公布市、县两级行政许可事项清单，实现全市各级依法实施的行政许可事项全部纳入清单管理，清单之外一律不得违法实施行政许可；对清单内的事项逐项制定行政许可实施规范，推动线上线下融合、事项清单一致、实施要件统一、办事指南同源，实现市县同一事项在同层级同要素管理、同标准办理；厘清监管责任，推进审管有效衔接，加强事前事中事后全链条全领域监管。</w:t>
      </w:r>
    </w:p>
    <w:p>
      <w:pPr>
        <w:pStyle w:val="30"/>
        <w:spacing w:before="0" w:beforeAutospacing="0" w:after="0" w:afterAutospacing="0" w:line="560" w:lineRule="exact"/>
        <w:jc w:val="both"/>
        <w:rPr>
          <w:rFonts w:ascii="Times New Roman" w:hAnsi="Times New Roman" w:eastAsia="sans-serif"/>
          <w:color w:val="000000"/>
          <w:sz w:val="32"/>
          <w:szCs w:val="32"/>
        </w:rPr>
      </w:pPr>
      <w:r>
        <w:rPr>
          <w:rFonts w:ascii="Times New Roman" w:hAnsi="Times New Roman" w:eastAsia="黑体"/>
          <w:color w:val="000000"/>
          <w:sz w:val="32"/>
          <w:szCs w:val="32"/>
        </w:rPr>
        <w:t>　　二、重点任务</w:t>
      </w:r>
    </w:p>
    <w:p>
      <w:pPr>
        <w:pStyle w:val="30"/>
        <w:widowControl w:val="0"/>
        <w:spacing w:before="0" w:beforeAutospacing="0" w:after="0" w:afterAutospacing="0" w:line="560" w:lineRule="exact"/>
        <w:ind w:firstLine="618"/>
        <w:jc w:val="both"/>
        <w:rPr>
          <w:rFonts w:ascii="Times New Roman" w:hAnsi="Times New Roman" w:eastAsia="仿宋_GB2312"/>
          <w:color w:val="000000"/>
          <w:sz w:val="32"/>
          <w:szCs w:val="32"/>
        </w:rPr>
      </w:pPr>
      <w:r>
        <w:rPr>
          <w:rFonts w:ascii="Times New Roman" w:hAnsi="Times New Roman" w:eastAsia="楷体_GB2312"/>
          <w:color w:val="000000"/>
          <w:sz w:val="32"/>
          <w:szCs w:val="32"/>
        </w:rPr>
        <w:t>（一）依法编制市县两级行政许可事项清单。</w:t>
      </w:r>
      <w:r>
        <w:rPr>
          <w:rFonts w:ascii="Times New Roman" w:hAnsi="Times New Roman" w:eastAsia="仿宋_GB2312"/>
          <w:color w:val="000000"/>
          <w:sz w:val="32"/>
          <w:szCs w:val="32"/>
        </w:rPr>
        <w:t>编制并公布市、县（区）两级行政许可事项清单，将依法设定在我市实施的行政许可事项全部纳入清单管理。清单自上而下编制，逐层向下覆盖，每一级清单包含本级和以下各级行政机关实施的行政许可事项。乡镇一级实施的行政许可事项编入县（市、区）级清单，不单独编制。采取双重领导管理体制的部门、垂直管理机构、国务院部门驻地方派出机构实施的行政许可事项，同步纳入清单。有关开发区、产业园区等经济功能区的清单编制，涉及行政许可事项下放的，由功能区主管单位就事项名称、下放方式、权限范围等内容与放权部门衔接、调整后，按原有政策执行，不在《清单》中体现。</w:t>
      </w:r>
    </w:p>
    <w:p>
      <w:pPr>
        <w:pStyle w:val="30"/>
        <w:widowControl w:val="0"/>
        <w:spacing w:before="0" w:beforeAutospacing="0" w:after="0" w:afterAutospacing="0" w:line="560" w:lineRule="exact"/>
        <w:ind w:firstLine="618"/>
        <w:jc w:val="both"/>
        <w:rPr>
          <w:rFonts w:ascii="Times New Roman" w:hAnsi="Times New Roman" w:eastAsia="仿宋_GB2312"/>
          <w:color w:val="000000"/>
          <w:sz w:val="32"/>
          <w:szCs w:val="32"/>
        </w:rPr>
      </w:pPr>
      <w:r>
        <w:rPr>
          <w:rFonts w:ascii="Times New Roman" w:hAnsi="Times New Roman" w:eastAsia="仿宋_GB2312"/>
          <w:color w:val="000000"/>
          <w:sz w:val="32"/>
          <w:szCs w:val="32"/>
        </w:rPr>
        <w:t>市、县两级行政审批制度改革工作牵头机构（以下简称审改办）负责组织实施本级行政许可事项清单编制和公布工作。各县（市、区）在《忻州市行政许可事项清单（2022年版）》范围内梳理确认本级实施的行政许可事项，逐项明确事项名称、主管部门、实施机关、设定和实施依据等基本要素，编制的行政许可事项清单报县（市、区）政府审定后向社会公布，并抄送市审改办。</w:t>
      </w:r>
    </w:p>
    <w:p>
      <w:pPr>
        <w:pStyle w:val="30"/>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各县（市、区）人民政府审定县（含乡镇）行政许可事项清单，事项名称、主管部门、设定和实施依据、实施机关原则上要与《清单》完全一致，不一致的要及时调整，确保事项同源、统一规范。</w:t>
      </w:r>
    </w:p>
    <w:p>
      <w:pPr>
        <w:pStyle w:val="30"/>
        <w:spacing w:before="0" w:beforeAutospacing="0" w:after="0" w:afterAutospacing="0" w:line="560" w:lineRule="exact"/>
        <w:ind w:firstLine="640" w:firstLineChars="200"/>
        <w:jc w:val="both"/>
        <w:rPr>
          <w:rFonts w:ascii="Times New Roman" w:hAnsi="Times New Roman" w:eastAsia="仿宋_GB2312"/>
          <w:color w:val="000000"/>
          <w:sz w:val="32"/>
          <w:szCs w:val="32"/>
        </w:rPr>
      </w:pPr>
      <w:r>
        <w:rPr>
          <w:rFonts w:ascii="Times New Roman" w:hAnsi="Times New Roman" w:eastAsia="楷体_GB2312"/>
          <w:color w:val="000000"/>
          <w:sz w:val="32"/>
          <w:szCs w:val="32"/>
        </w:rPr>
        <w:t>（二）细化落实行政许可实施规范。</w:t>
      </w:r>
      <w:r>
        <w:rPr>
          <w:rFonts w:ascii="Times New Roman" w:hAnsi="Times New Roman" w:eastAsia="仿宋_GB2312"/>
          <w:color w:val="000000"/>
          <w:sz w:val="32"/>
          <w:szCs w:val="32"/>
        </w:rPr>
        <w:t>对中央、省级层面设定的行政许可事项，市级部门要对照国家、省级相关部门确定的实施规范和《忻州市行政许可事项清单（2022年版）》，及时做好衔接。按照“最小颗粒度”的业务办理项或情形项梳理再造流程，逐项、逐环节明确依据的审批层级、事项类型、许可条件、申请材料、中介服务、审批程序、受理和审批时限、收费、许可证件、数量限制、年检要求、年报要求、监管主体等内容，实现省、市、县行政许可事项“三级三十二同”。</w:t>
      </w:r>
    </w:p>
    <w:p>
      <w:pPr>
        <w:pStyle w:val="30"/>
        <w:spacing w:before="0" w:beforeAutospacing="0" w:after="0" w:afterAutospacing="0" w:line="560" w:lineRule="exact"/>
        <w:jc w:val="both"/>
        <w:rPr>
          <w:rFonts w:ascii="Times New Roman" w:hAnsi="Times New Roman" w:eastAsia="sans-serif"/>
          <w:color w:val="000000"/>
          <w:sz w:val="32"/>
          <w:szCs w:val="32"/>
        </w:rPr>
      </w:pPr>
      <w:r>
        <w:rPr>
          <w:rFonts w:ascii="Times New Roman" w:hAnsi="Times New Roman" w:eastAsia="楷体_GB2312"/>
          <w:color w:val="000000"/>
          <w:sz w:val="32"/>
          <w:szCs w:val="32"/>
        </w:rPr>
        <w:t xml:space="preserve">    （三）更新调整行政许可办事指南</w:t>
      </w:r>
      <w:r>
        <w:rPr>
          <w:rFonts w:ascii="Times New Roman" w:hAnsi="Times New Roman" w:eastAsia="仿宋_GB2312"/>
          <w:color w:val="000000"/>
          <w:sz w:val="32"/>
          <w:szCs w:val="32"/>
        </w:rPr>
        <w:t>。各级、各部门要及时更新调整行政许可事项办事指南，向社会公布并严格遵照执行。不得随意增加许可条件、申请材料、中介服务、审批环节、收费、数量限制等条件，不得超时限办理行政许可，但可以作出有利于行政相对人的合理优化调整。要按照政务服务标准化、规范化、便利化要求，通过推行告知承诺、集成服务、一网通办、跨省通办等改革措施，更好满足企业和群众办事需求。</w:t>
      </w:r>
    </w:p>
    <w:p>
      <w:pPr>
        <w:pStyle w:val="30"/>
        <w:spacing w:before="0" w:beforeAutospacing="0" w:after="0" w:afterAutospacing="0" w:line="560" w:lineRule="exact"/>
        <w:jc w:val="both"/>
        <w:rPr>
          <w:rFonts w:ascii="Times New Roman" w:hAnsi="Times New Roman" w:eastAsia="sans-serif"/>
          <w:color w:val="000000"/>
          <w:sz w:val="32"/>
          <w:szCs w:val="32"/>
        </w:rPr>
      </w:pPr>
      <w:r>
        <w:rPr>
          <w:rFonts w:ascii="Times New Roman" w:hAnsi="Times New Roman" w:eastAsia="楷体_GB2312"/>
          <w:color w:val="000000"/>
          <w:sz w:val="32"/>
          <w:szCs w:val="32"/>
        </w:rPr>
        <w:t xml:space="preserve">    （四）建立行政许可事项动态调整机制。</w:t>
      </w:r>
      <w:r>
        <w:rPr>
          <w:rFonts w:ascii="Times New Roman" w:hAnsi="Times New Roman" w:eastAsia="仿宋_GB2312"/>
          <w:color w:val="000000"/>
          <w:sz w:val="32"/>
          <w:szCs w:val="32"/>
        </w:rPr>
        <w:t>市审改办对全市行政许可事项进行动态管理，及时研究解决清单管理和行政许可实施中的重大问题。拟通过地方性法规、市政府规章新设或者调整行政许可的，起草部门应当充分研究论证，并在起草说明中专门作出说明；司法行政部门在草案审查阶段，应当征求同级审改办意见；行政许可正式实施前，有关部门应当提出调整行政许可事项清单的申请，审改办应当及时进行调整，行政许可实施机关做好实施前准备。因深化行政审批制度改革需要动态调整行政许可事项清单的，参照上述程序办理。上级清单作出动态调整的，下级清单要及时作出相应调整。</w:t>
      </w:r>
    </w:p>
    <w:p>
      <w:pPr>
        <w:pStyle w:val="30"/>
        <w:widowControl w:val="0"/>
        <w:spacing w:before="0" w:beforeAutospacing="0" w:after="0" w:afterAutospacing="0" w:line="560" w:lineRule="exact"/>
        <w:jc w:val="both"/>
        <w:rPr>
          <w:rFonts w:ascii="Times New Roman" w:hAnsi="Times New Roman" w:eastAsia="sans-serif"/>
          <w:color w:val="000000"/>
          <w:sz w:val="32"/>
          <w:szCs w:val="32"/>
        </w:rPr>
      </w:pPr>
      <w:r>
        <w:rPr>
          <w:rFonts w:ascii="Times New Roman" w:hAnsi="Times New Roman" w:eastAsia="楷体_GB2312"/>
          <w:color w:val="000000"/>
          <w:sz w:val="32"/>
          <w:szCs w:val="32"/>
        </w:rPr>
        <w:t xml:space="preserve">    （五）严肃清查整治变相许可</w:t>
      </w:r>
      <w:r>
        <w:rPr>
          <w:rFonts w:ascii="Times New Roman" w:hAnsi="Times New Roman" w:eastAsia="仿宋_GB2312"/>
          <w:color w:val="000000"/>
          <w:sz w:val="32"/>
          <w:szCs w:val="32"/>
        </w:rPr>
        <w:t>。严格落实行政许可事项清单之外一律不得违法实施行政许可的要求，大力清理整治变相许可。对清单之外直接面向公民、法人和其他组织的以备案、证明、目录、计划、规划、登记、注册、指定、认定、认证、审定、年检、年报、监制等形式实施审批的管理措施，要求行政相对人经申请获批后方可从事特定活动的，应当认定为变相许可，要通过停止实施、调整实施方式、完善设定依据等予以纠正。针对企业群众反映的擅自增设行政许可前置条件或将依法取消的许可事项变相交由下属事业单位、行业协会等社会组织继续实施等变相许可问题，加大整治力度，对情节严重的要依法依规严肃问责。 </w:t>
      </w:r>
    </w:p>
    <w:p>
      <w:pPr>
        <w:pStyle w:val="30"/>
        <w:spacing w:before="0" w:beforeAutospacing="0" w:after="0" w:afterAutospacing="0" w:line="560" w:lineRule="exact"/>
        <w:jc w:val="both"/>
        <w:rPr>
          <w:rFonts w:ascii="Times New Roman" w:hAnsi="Times New Roman" w:eastAsia="sans-serif"/>
          <w:color w:val="000000"/>
          <w:sz w:val="32"/>
          <w:szCs w:val="32"/>
        </w:rPr>
      </w:pPr>
      <w:r>
        <w:rPr>
          <w:rFonts w:ascii="Times New Roman" w:hAnsi="Times New Roman" w:eastAsia="仿宋_GB2312"/>
          <w:color w:val="000000"/>
          <w:sz w:val="32"/>
          <w:szCs w:val="32"/>
        </w:rPr>
        <w:t xml:space="preserve">   </w:t>
      </w:r>
      <w:r>
        <w:rPr>
          <w:rFonts w:ascii="Times New Roman" w:hAnsi="Times New Roman" w:eastAsia="楷体_GB2312"/>
          <w:color w:val="000000"/>
          <w:sz w:val="32"/>
          <w:szCs w:val="32"/>
        </w:rPr>
        <w:t xml:space="preserve"> （六）健全各专项清单衔接机制。</w:t>
      </w:r>
      <w:r>
        <w:rPr>
          <w:rFonts w:ascii="Times New Roman" w:hAnsi="Times New Roman" w:eastAsia="仿宋_GB2312"/>
          <w:color w:val="000000"/>
          <w:sz w:val="32"/>
          <w:szCs w:val="32"/>
        </w:rPr>
        <w:t>市场准入负面清单、政务服务事项基本目录、“互联网+监管”事项清单、投资项目审批事项清单、工程建设项目审批事项清单、“一枚印章管审批”改革市县级行政审批事项划转基本目录等专项清单涉及的行政许可事项，应当严格与行政许可事项清单保持一致并做好衔接。行政许可事项清单调整的，有关清单要适时作出相应调整。健全审改办与其他清单主管部门的沟通协调机制，协同做好清单内容对接匹配。</w:t>
      </w:r>
    </w:p>
    <w:p>
      <w:pPr>
        <w:widowControl/>
        <w:spacing w:line="560" w:lineRule="exact"/>
        <w:rPr>
          <w:rFonts w:eastAsia="sans-serif"/>
          <w:color w:val="000000"/>
          <w:sz w:val="32"/>
          <w:szCs w:val="32"/>
        </w:rPr>
      </w:pPr>
      <w:r>
        <w:rPr>
          <w:rFonts w:eastAsia="楷体_GB2312"/>
          <w:color w:val="000000"/>
          <w:sz w:val="32"/>
          <w:szCs w:val="32"/>
        </w:rPr>
        <w:t xml:space="preserve">    （七）加快线上线下融合。</w:t>
      </w:r>
      <w:r>
        <w:rPr>
          <w:rFonts w:eastAsia="仿宋_GB2312"/>
          <w:color w:val="000000"/>
          <w:sz w:val="32"/>
          <w:szCs w:val="32"/>
        </w:rPr>
        <w:t>落实行政许可事项清单、实施规范、办事指南等线上线下同源发布、同步更新要求，做到线上线下办事一个标准、一套材料、一体化办理。结合全省“一网通办”，推动各级、各部门行政许可业务办理及管理系统与全省一体化政务服务平台深度对接，实现数据及时交互共享，对行政许可全流程开展“智慧监督”。按照《国务院关于加快推进政务服务标准化规范化便利化的指导意见》（国发〔2022〕5号），深入推进政务服务“一网、一门、一次”改革，积极探索创新行政许可事项清单应用场景，提升企业和群众获得感、满意度。</w:t>
      </w:r>
    </w:p>
    <w:p>
      <w:pPr>
        <w:pStyle w:val="30"/>
        <w:widowControl w:val="0"/>
        <w:spacing w:before="0" w:beforeAutospacing="0" w:after="0" w:afterAutospacing="0" w:line="560" w:lineRule="exact"/>
        <w:jc w:val="both"/>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r>
        <w:rPr>
          <w:rFonts w:ascii="Times New Roman" w:hAnsi="Times New Roman" w:eastAsia="楷体_GB2312"/>
          <w:color w:val="000000"/>
          <w:sz w:val="32"/>
          <w:szCs w:val="32"/>
        </w:rPr>
        <w:t>（八）加强全链条全领域监管。</w:t>
      </w:r>
      <w:r>
        <w:rPr>
          <w:rFonts w:ascii="Times New Roman" w:hAnsi="Times New Roman" w:eastAsia="仿宋_GB2312"/>
          <w:color w:val="000000"/>
          <w:sz w:val="32"/>
          <w:szCs w:val="32"/>
        </w:rPr>
        <w:t>在梳理行政许可事项运行的同时，逐项明确监管主体、监管事项及监管措施。市县按照“一枚印章管审批”、综合执法等改革的具体要求，同步逐项明确审管衔接办法，确定监管主体。对多部门共同承担监管职责的事项，由行业主管部门牵头会同相关部门实施综合监管。有关部门就监管主体存在争议的，报同级人民政府决定。</w:t>
      </w:r>
    </w:p>
    <w:p>
      <w:pPr>
        <w:pStyle w:val="30"/>
        <w:spacing w:before="0" w:beforeAutospacing="0" w:after="0" w:afterAutospacing="0" w:line="560" w:lineRule="exact"/>
        <w:ind w:firstLine="620"/>
        <w:jc w:val="both"/>
        <w:rPr>
          <w:rFonts w:ascii="Times New Roman" w:hAnsi="Times New Roman" w:eastAsia="仿宋_GB2312"/>
          <w:color w:val="000000"/>
          <w:sz w:val="32"/>
          <w:szCs w:val="32"/>
        </w:rPr>
      </w:pPr>
      <w:r>
        <w:rPr>
          <w:rFonts w:ascii="Times New Roman" w:hAnsi="Times New Roman" w:eastAsia="仿宋_GB2312"/>
          <w:color w:val="000000"/>
          <w:sz w:val="32"/>
          <w:szCs w:val="32"/>
        </w:rPr>
        <w:t>制定监管规则和标准。要充分评估实际情况和风险隐患，科学划分风险等级，制定全省统一、简明易行、科学合理的监管规则和标准，明确监管重点环节，实施有针对性、差异化的监管政策。其中，对直接涉及公共安全、公众健康以及潜在风险大、社会风险高的重点领域，要依法依规重点监管。与行政许可事项对应的监管事项，要纳入“互联网+监管”平台监管事项动态管理系统。</w:t>
      </w:r>
    </w:p>
    <w:p>
      <w:pPr>
        <w:pStyle w:val="30"/>
        <w:spacing w:before="0" w:beforeAutospacing="0" w:after="0" w:afterAutospacing="0" w:line="560" w:lineRule="exact"/>
        <w:jc w:val="both"/>
        <w:rPr>
          <w:rFonts w:ascii="Times New Roman" w:hAnsi="Times New Roman" w:eastAsia="仿宋_GB2312"/>
          <w:color w:val="000000"/>
          <w:sz w:val="32"/>
          <w:szCs w:val="32"/>
        </w:rPr>
      </w:pPr>
      <w:r>
        <w:rPr>
          <w:rFonts w:ascii="Times New Roman" w:hAnsi="Times New Roman" w:eastAsia="楷体_GB2312"/>
          <w:color w:val="000000"/>
          <w:sz w:val="32"/>
          <w:szCs w:val="32"/>
        </w:rPr>
        <w:t xml:space="preserve">    （九）及时公开相关内容。</w:t>
      </w:r>
      <w:r>
        <w:rPr>
          <w:rFonts w:ascii="Times New Roman" w:hAnsi="Times New Roman" w:eastAsia="仿宋_GB2312"/>
          <w:color w:val="000000"/>
          <w:sz w:val="32"/>
          <w:szCs w:val="32"/>
        </w:rPr>
        <w:t>行政许可事项清单、实施规范、办事指南应及时通过政府门户网站、一体化政务服务平台向社会公布。各级各部门要加强政策宣传，提升企业群众对相关情况知晓度，强化群众监督作用。</w:t>
      </w:r>
    </w:p>
    <w:p>
      <w:pPr>
        <w:pStyle w:val="30"/>
        <w:spacing w:before="0" w:beforeAutospacing="0" w:after="0" w:afterAutospacing="0" w:line="560" w:lineRule="exact"/>
        <w:jc w:val="both"/>
        <w:rPr>
          <w:rFonts w:ascii="Times New Roman" w:hAnsi="Times New Roman" w:eastAsia="黑体"/>
          <w:color w:val="000000"/>
          <w:sz w:val="32"/>
          <w:szCs w:val="32"/>
        </w:rPr>
      </w:pPr>
      <w:r>
        <w:rPr>
          <w:rFonts w:ascii="Times New Roman" w:hAnsi="Times New Roman" w:eastAsia="仿宋_GB2312"/>
          <w:color w:val="000000"/>
          <w:sz w:val="32"/>
          <w:szCs w:val="32"/>
        </w:rPr>
        <w:t>　</w:t>
      </w:r>
      <w:r>
        <w:rPr>
          <w:rFonts w:ascii="Times New Roman" w:hAnsi="Times New Roman" w:eastAsia="黑体"/>
          <w:color w:val="000000"/>
          <w:sz w:val="32"/>
          <w:szCs w:val="32"/>
        </w:rPr>
        <w:t>　三、保障措施</w:t>
      </w:r>
    </w:p>
    <w:p>
      <w:pPr>
        <w:spacing w:line="560" w:lineRule="exact"/>
        <w:rPr>
          <w:rFonts w:eastAsia="仿宋_GB2312"/>
          <w:color w:val="000000"/>
          <w:kern w:val="0"/>
          <w:sz w:val="32"/>
          <w:szCs w:val="32"/>
        </w:rPr>
      </w:pPr>
      <w:r>
        <w:rPr>
          <w:rFonts w:eastAsia="楷体_GB2312"/>
          <w:color w:val="000000"/>
          <w:kern w:val="0"/>
          <w:sz w:val="32"/>
          <w:szCs w:val="32"/>
        </w:rPr>
        <w:t>　　（一）加强组织领导</w:t>
      </w:r>
      <w:r>
        <w:rPr>
          <w:rFonts w:eastAsia="仿宋_GB2312"/>
          <w:color w:val="000000"/>
          <w:kern w:val="0"/>
          <w:sz w:val="32"/>
          <w:szCs w:val="32"/>
        </w:rPr>
        <w:t>。各级各部门要高度重视全面实行行政许可事项清单管理工作，加强组织领导，配齐配强工作力量，推动工作落地落实，要将编制公布行政许可事项清单工作纳入优化营商环境目标考核。</w:t>
      </w:r>
    </w:p>
    <w:p>
      <w:pPr>
        <w:spacing w:line="560" w:lineRule="exact"/>
        <w:ind w:firstLine="640" w:firstLineChars="200"/>
        <w:rPr>
          <w:rFonts w:eastAsia="仿宋_GB2312"/>
          <w:color w:val="000000"/>
          <w:kern w:val="0"/>
          <w:sz w:val="32"/>
          <w:szCs w:val="32"/>
        </w:rPr>
      </w:pPr>
      <w:r>
        <w:rPr>
          <w:rFonts w:eastAsia="楷体_GB2312"/>
          <w:color w:val="000000"/>
          <w:kern w:val="0"/>
          <w:sz w:val="32"/>
          <w:szCs w:val="32"/>
        </w:rPr>
        <w:t>（二）严格时限要求</w:t>
      </w:r>
      <w:r>
        <w:rPr>
          <w:rFonts w:eastAsia="仿宋_GB2312"/>
          <w:color w:val="000000"/>
          <w:kern w:val="0"/>
          <w:sz w:val="32"/>
          <w:szCs w:val="32"/>
        </w:rPr>
        <w:t>。2022年11月15日前，编制完成各县（市、区）行政许可事项清单。12月15日前，完成变相许可清查整治，行政许可实施规范制定，办事指南更新等工作。</w:t>
      </w:r>
    </w:p>
    <w:p>
      <w:pPr>
        <w:spacing w:line="560" w:lineRule="exact"/>
        <w:ind w:firstLine="640" w:firstLineChars="200"/>
        <w:rPr>
          <w:rFonts w:eastAsia="仿宋_GB2312"/>
          <w:color w:val="000000"/>
          <w:kern w:val="0"/>
          <w:sz w:val="32"/>
          <w:szCs w:val="32"/>
        </w:rPr>
      </w:pPr>
      <w:r>
        <w:rPr>
          <w:rFonts w:eastAsia="楷体_GB2312"/>
          <w:color w:val="000000"/>
          <w:kern w:val="0"/>
          <w:sz w:val="32"/>
          <w:szCs w:val="32"/>
        </w:rPr>
        <w:t>（三）强化监督问责</w:t>
      </w:r>
      <w:r>
        <w:rPr>
          <w:rFonts w:eastAsia="仿宋_GB2312"/>
          <w:color w:val="000000"/>
          <w:kern w:val="0"/>
          <w:sz w:val="32"/>
          <w:szCs w:val="32"/>
        </w:rPr>
        <w:t>。市、县两级审改牵头机构要加强对行政许可事项清单编制和实施情况的动态评估和全程监督。及时总结推广改革创新举措和典型经验做法。畅通投诉举报渠道，依托政府门户网站、“12345”政务服务便民热线、政务服务“好差评”系统等接受社会监督。对违法违规编制清单、清单之外实施行政许可的行为，要加大监管力度，及时发现问题并限期整改，情节严重的要依法依规严肃问责。</w:t>
      </w:r>
    </w:p>
    <w:p>
      <w:pPr>
        <w:spacing w:line="560" w:lineRule="exact"/>
        <w:ind w:firstLine="640" w:firstLineChars="200"/>
        <w:rPr>
          <w:rFonts w:eastAsia="仿宋_GB2312"/>
          <w:color w:val="000000"/>
          <w:kern w:val="0"/>
          <w:sz w:val="32"/>
          <w:szCs w:val="32"/>
        </w:rPr>
      </w:pPr>
      <w:r>
        <w:rPr>
          <w:rFonts w:eastAsia="楷体_GB2312"/>
          <w:color w:val="000000"/>
          <w:kern w:val="0"/>
          <w:sz w:val="32"/>
          <w:szCs w:val="32"/>
        </w:rPr>
        <w:t>（四）注重宣传引导</w:t>
      </w:r>
      <w:r>
        <w:rPr>
          <w:rFonts w:eastAsia="仿宋_GB2312"/>
          <w:color w:val="000000"/>
          <w:kern w:val="0"/>
          <w:sz w:val="32"/>
          <w:szCs w:val="32"/>
        </w:rPr>
        <w:t>。要加强宣传，通过多种形式及时宣传报道，及时回应社会关切，引导社会预期，凝聚改革共识，创造良好改革氛围，为顺利推进改革工作营造良好的舆论环境。</w:t>
      </w:r>
    </w:p>
    <w:p>
      <w:pPr>
        <w:spacing w:line="560" w:lineRule="exact"/>
        <w:ind w:firstLine="640" w:firstLineChars="200"/>
        <w:rPr>
          <w:rFonts w:eastAsia="仿宋_GB2312"/>
          <w:color w:val="000000"/>
          <w:kern w:val="0"/>
          <w:sz w:val="32"/>
          <w:szCs w:val="32"/>
        </w:rPr>
      </w:pPr>
    </w:p>
    <w:p>
      <w:pPr>
        <w:spacing w:line="560" w:lineRule="exact"/>
        <w:ind w:firstLine="640" w:firstLineChars="200"/>
        <w:rPr>
          <w:rFonts w:eastAsia="仿宋_GB2312"/>
          <w:color w:val="000000"/>
          <w:sz w:val="32"/>
          <w:szCs w:val="32"/>
        </w:rPr>
      </w:pPr>
      <w:r>
        <w:rPr>
          <w:rFonts w:eastAsia="仿宋_GB2312"/>
          <w:color w:val="000000"/>
          <w:sz w:val="32"/>
          <w:szCs w:val="32"/>
        </w:rPr>
        <w:t>附件： 忻州市行政许可事项清单（2022年版）</w:t>
      </w:r>
    </w:p>
    <w:p>
      <w:pPr>
        <w:spacing w:line="560" w:lineRule="exact"/>
        <w:ind w:firstLine="640" w:firstLineChars="200"/>
        <w:rPr>
          <w:rFonts w:eastAsia="仿宋_GB2312"/>
          <w:color w:val="000000"/>
          <w:sz w:val="32"/>
          <w:szCs w:val="32"/>
        </w:rPr>
      </w:pPr>
    </w:p>
    <w:p>
      <w:pPr>
        <w:spacing w:line="560" w:lineRule="exact"/>
        <w:ind w:firstLine="640" w:firstLineChars="200"/>
        <w:rPr>
          <w:rFonts w:hint="eastAsia" w:eastAsia="仿宋_GB2312"/>
          <w:color w:val="000000"/>
          <w:sz w:val="32"/>
          <w:szCs w:val="32"/>
        </w:rPr>
      </w:pPr>
    </w:p>
    <w:p>
      <w:pPr>
        <w:spacing w:line="560" w:lineRule="exact"/>
        <w:ind w:firstLine="640" w:firstLineChars="200"/>
        <w:rPr>
          <w:rFonts w:eastAsia="仿宋_GB2312"/>
          <w:color w:val="000000"/>
          <w:sz w:val="32"/>
          <w:szCs w:val="32"/>
        </w:rPr>
      </w:pPr>
    </w:p>
    <w:p>
      <w:pPr>
        <w:wordWrap w:val="0"/>
        <w:spacing w:line="560" w:lineRule="exact"/>
        <w:ind w:firstLine="640" w:firstLineChars="200"/>
        <w:jc w:val="right"/>
        <w:rPr>
          <w:rFonts w:eastAsia="仿宋_GB2312"/>
          <w:color w:val="000000"/>
          <w:sz w:val="32"/>
          <w:szCs w:val="32"/>
        </w:rPr>
      </w:pPr>
      <w:r>
        <w:rPr>
          <w:rFonts w:eastAsia="仿宋_GB2312"/>
          <w:color w:val="000000"/>
          <w:sz w:val="32"/>
          <w:szCs w:val="32"/>
        </w:rPr>
        <w:t xml:space="preserve">                       忻州市人民政府办公室</w:t>
      </w:r>
      <w:r>
        <w:rPr>
          <w:rFonts w:hint="eastAsia" w:eastAsia="仿宋_GB2312"/>
          <w:color w:val="000000"/>
          <w:sz w:val="32"/>
          <w:szCs w:val="32"/>
        </w:rPr>
        <w:t xml:space="preserve">       </w:t>
      </w:r>
    </w:p>
    <w:p>
      <w:pPr>
        <w:wordWrap w:val="0"/>
        <w:spacing w:line="560" w:lineRule="exact"/>
        <w:ind w:firstLine="640" w:firstLineChars="200"/>
        <w:jc w:val="right"/>
        <w:rPr>
          <w:rFonts w:eastAsia="仿宋_GB2312"/>
          <w:color w:val="000000"/>
          <w:sz w:val="32"/>
          <w:szCs w:val="32"/>
        </w:rPr>
      </w:pPr>
      <w:r>
        <w:rPr>
          <w:rFonts w:eastAsia="仿宋_GB2312"/>
          <w:color w:val="000000"/>
          <w:sz w:val="32"/>
          <w:szCs w:val="32"/>
        </w:rPr>
        <w:t xml:space="preserve">                          2022年12月</w:t>
      </w:r>
      <w:r>
        <w:rPr>
          <w:rFonts w:hint="eastAsia" w:eastAsia="仿宋_GB2312"/>
          <w:color w:val="000000"/>
          <w:sz w:val="32"/>
          <w:szCs w:val="32"/>
        </w:rPr>
        <w:t>12</w:t>
      </w:r>
      <w:r>
        <w:rPr>
          <w:rFonts w:eastAsia="仿宋_GB2312"/>
          <w:color w:val="000000"/>
          <w:sz w:val="32"/>
          <w:szCs w:val="32"/>
        </w:rPr>
        <w:t>日</w:t>
      </w:r>
      <w:r>
        <w:rPr>
          <w:rFonts w:hint="eastAsia" w:eastAsia="仿宋_GB2312"/>
          <w:color w:val="000000"/>
          <w:sz w:val="32"/>
          <w:szCs w:val="32"/>
        </w:rPr>
        <w:t xml:space="preserve">        </w:t>
      </w:r>
    </w:p>
    <w:p>
      <w:pPr>
        <w:spacing w:line="560" w:lineRule="exact"/>
        <w:ind w:firstLine="640" w:firstLineChars="200"/>
        <w:rPr>
          <w:rFonts w:eastAsia="仿宋_GB2312"/>
          <w:color w:val="000000"/>
          <w:sz w:val="32"/>
          <w:szCs w:val="32"/>
        </w:rPr>
      </w:pPr>
      <w:r>
        <w:rPr>
          <w:rFonts w:eastAsia="仿宋_GB2312"/>
          <w:color w:val="000000"/>
          <w:sz w:val="32"/>
          <w:szCs w:val="32"/>
        </w:rPr>
        <w:t>（此件公开发布）</w:t>
      </w:r>
    </w:p>
    <w:p/>
    <w:p/>
    <w:p/>
    <w:p/>
    <w:p/>
    <w:p/>
    <w:p/>
    <w:p/>
    <w:p/>
    <w:p/>
    <w:p/>
    <w:p/>
    <w:p/>
    <w:p>
      <w:pPr>
        <w:sectPr>
          <w:footerReference r:id="rId3" w:type="default"/>
          <w:footerReference r:id="rId4" w:type="even"/>
          <w:pgSz w:w="11906" w:h="16838"/>
          <w:pgMar w:top="2098" w:right="1588" w:bottom="1701" w:left="1588" w:header="720" w:footer="1134" w:gutter="0"/>
          <w:pgNumType w:fmt="numberInDash"/>
          <w:cols w:space="720" w:num="1"/>
          <w:titlePg/>
          <w:docGrid w:type="lines" w:linePitch="312" w:charSpace="0"/>
        </w:sectPr>
      </w:pPr>
    </w:p>
    <w:tbl>
      <w:tblPr>
        <w:tblStyle w:val="33"/>
        <w:tblW w:w="14000" w:type="dxa"/>
        <w:jc w:val="center"/>
        <w:tblLayout w:type="fixed"/>
        <w:tblCellMar>
          <w:top w:w="0" w:type="dxa"/>
          <w:left w:w="108" w:type="dxa"/>
          <w:bottom w:w="0" w:type="dxa"/>
          <w:right w:w="108" w:type="dxa"/>
        </w:tblCellMar>
      </w:tblPr>
      <w:tblGrid>
        <w:gridCol w:w="735"/>
        <w:gridCol w:w="994"/>
        <w:gridCol w:w="271"/>
        <w:gridCol w:w="2410"/>
        <w:gridCol w:w="37"/>
        <w:gridCol w:w="1534"/>
        <w:gridCol w:w="271"/>
        <w:gridCol w:w="1920"/>
        <w:gridCol w:w="48"/>
        <w:gridCol w:w="454"/>
        <w:gridCol w:w="1531"/>
        <w:gridCol w:w="3401"/>
        <w:gridCol w:w="394"/>
      </w:tblGrid>
      <w:tr>
        <w:tblPrEx>
          <w:tblCellMar>
            <w:top w:w="0" w:type="dxa"/>
            <w:left w:w="108" w:type="dxa"/>
            <w:bottom w:w="0" w:type="dxa"/>
            <w:right w:w="108" w:type="dxa"/>
          </w:tblCellMar>
        </w:tblPrEx>
        <w:trPr>
          <w:gridAfter w:val="4"/>
          <w:wAfter w:w="5780" w:type="dxa"/>
          <w:trHeight w:val="405" w:hRule="atLeast"/>
          <w:jc w:val="center"/>
        </w:trPr>
        <w:tc>
          <w:tcPr>
            <w:tcW w:w="8220" w:type="dxa"/>
            <w:gridSpan w:val="9"/>
            <w:tcBorders>
              <w:top w:val="nil"/>
              <w:left w:val="nil"/>
              <w:bottom w:val="nil"/>
              <w:right w:val="nil"/>
            </w:tcBorders>
            <w:vAlign w:val="center"/>
          </w:tcPr>
          <w:p>
            <w:pPr>
              <w:rPr>
                <w:rFonts w:hint="eastAsia" w:ascii="宋体" w:hAnsi="宋体" w:cs="宋体"/>
                <w:sz w:val="32"/>
                <w:szCs w:val="32"/>
              </w:rPr>
            </w:pPr>
            <w:r>
              <w:rPr>
                <w:rFonts w:hint="eastAsia" w:ascii="仿宋_GB2312" w:hAnsi="宋体" w:eastAsia="仿宋_GB2312" w:cs="黑体"/>
                <w:kern w:val="0"/>
                <w:sz w:val="32"/>
                <w:szCs w:val="32"/>
              </w:rPr>
              <w:t>附件：</w:t>
            </w:r>
          </w:p>
        </w:tc>
      </w:tr>
      <w:tr>
        <w:tblPrEx>
          <w:tblCellMar>
            <w:top w:w="0" w:type="dxa"/>
            <w:left w:w="108" w:type="dxa"/>
            <w:bottom w:w="0" w:type="dxa"/>
            <w:right w:w="108" w:type="dxa"/>
          </w:tblCellMar>
        </w:tblPrEx>
        <w:trPr>
          <w:gridAfter w:val="1"/>
          <w:wAfter w:w="394" w:type="dxa"/>
          <w:trHeight w:val="540" w:hRule="atLeast"/>
          <w:jc w:val="center"/>
        </w:trPr>
        <w:tc>
          <w:tcPr>
            <w:tcW w:w="13606" w:type="dxa"/>
            <w:gridSpan w:val="12"/>
            <w:tcBorders>
              <w:top w:val="nil"/>
              <w:left w:val="nil"/>
              <w:bottom w:val="nil"/>
              <w:right w:val="nil"/>
            </w:tcBorders>
            <w:vAlign w:val="center"/>
          </w:tcPr>
          <w:p>
            <w:pPr>
              <w:widowControl/>
              <w:spacing w:line="560" w:lineRule="exact"/>
              <w:jc w:val="center"/>
              <w:textAlignment w:val="center"/>
              <w:rPr>
                <w:rFonts w:hint="eastAsia" w:ascii="方正大标宋简体" w:hAnsi="宋体" w:eastAsia="方正大标宋简体" w:cs="黑体"/>
                <w:sz w:val="44"/>
                <w:szCs w:val="44"/>
              </w:rPr>
            </w:pPr>
            <w:r>
              <w:rPr>
                <w:rFonts w:hint="eastAsia" w:ascii="方正大标宋简体" w:hAnsi="宋体" w:eastAsia="方正大标宋简体" w:cs="黑体"/>
                <w:kern w:val="0"/>
                <w:sz w:val="44"/>
                <w:szCs w:val="44"/>
              </w:rPr>
              <w:t>忻州市行政许可事项清单（2022年版）</w:t>
            </w:r>
          </w:p>
        </w:tc>
      </w:tr>
      <w:tr>
        <w:tblPrEx>
          <w:tblCellMar>
            <w:top w:w="0" w:type="dxa"/>
            <w:left w:w="108" w:type="dxa"/>
            <w:bottom w:w="0" w:type="dxa"/>
            <w:right w:w="108" w:type="dxa"/>
          </w:tblCellMar>
        </w:tblPrEx>
        <w:trPr>
          <w:gridAfter w:val="2"/>
          <w:wAfter w:w="3795" w:type="dxa"/>
          <w:trHeight w:val="405" w:hRule="atLeast"/>
          <w:jc w:val="center"/>
        </w:trPr>
        <w:tc>
          <w:tcPr>
            <w:tcW w:w="10205" w:type="dxa"/>
            <w:gridSpan w:val="11"/>
            <w:tcBorders>
              <w:top w:val="nil"/>
              <w:left w:val="nil"/>
              <w:bottom w:val="nil"/>
              <w:right w:val="nil"/>
            </w:tcBorders>
            <w:vAlign w:val="center"/>
          </w:tcPr>
          <w:p>
            <w:pPr>
              <w:widowControl/>
              <w:jc w:val="left"/>
              <w:textAlignment w:val="center"/>
              <w:rPr>
                <w:rFonts w:eastAsia="黑体"/>
                <w:sz w:val="32"/>
                <w:szCs w:val="32"/>
              </w:rPr>
            </w:pPr>
            <w:r>
              <w:rPr>
                <w:rFonts w:eastAsia="黑体"/>
                <w:kern w:val="0"/>
                <w:sz w:val="32"/>
                <w:szCs w:val="32"/>
              </w:rPr>
              <w:t>一、认领省清单中（中央层面设定）的行政许可事项324项</w:t>
            </w:r>
          </w:p>
        </w:tc>
      </w:tr>
      <w:tr>
        <w:tblPrEx>
          <w:tblCellMar>
            <w:top w:w="0" w:type="dxa"/>
            <w:left w:w="108" w:type="dxa"/>
            <w:bottom w:w="0" w:type="dxa"/>
            <w:right w:w="108" w:type="dxa"/>
          </w:tblCellMar>
        </w:tblPrEx>
        <w:trPr>
          <w:trHeight w:val="60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rPr>
              <w:t>序号</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rPr>
              <w:t>省清单序号</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rPr>
              <w:t>许可事项名称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rPr>
              <w:t>省级业务指导部门</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rPr>
              <w:t>实施部门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黑体" w:hAnsi="宋体" w:eastAsia="黑体" w:cs="黑体"/>
                <w:sz w:val="20"/>
                <w:szCs w:val="20"/>
              </w:rPr>
            </w:pPr>
            <w:r>
              <w:rPr>
                <w:rFonts w:hint="eastAsia" w:ascii="黑体" w:hAnsi="宋体" w:eastAsia="黑体" w:cs="黑体"/>
                <w:kern w:val="0"/>
                <w:sz w:val="20"/>
                <w:szCs w:val="20"/>
              </w:rPr>
              <w:t>设定和实施依据</w:t>
            </w:r>
          </w:p>
        </w:tc>
      </w:tr>
      <w:tr>
        <w:tblPrEx>
          <w:tblCellMar>
            <w:top w:w="0" w:type="dxa"/>
            <w:left w:w="108" w:type="dxa"/>
            <w:bottom w:w="0" w:type="dxa"/>
            <w:right w:w="108" w:type="dxa"/>
          </w:tblCellMar>
        </w:tblPrEx>
        <w:trPr>
          <w:trHeight w:val="137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固定资产投资项目核准</w:t>
            </w:r>
            <w:r>
              <w:rPr>
                <w:rFonts w:eastAsia="仿宋_GB2312"/>
                <w:kern w:val="0"/>
                <w:sz w:val="20"/>
                <w:szCs w:val="20"/>
              </w:rPr>
              <w:br w:type="textWrapping"/>
            </w:r>
            <w:r>
              <w:rPr>
                <w:rFonts w:eastAsia="仿宋_GB2312"/>
                <w:kern w:val="0"/>
                <w:sz w:val="20"/>
                <w:szCs w:val="20"/>
              </w:rPr>
              <w:t>（含国发〔2016〕72号文件规定的外商投资项目）</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省发改委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市政府（市行政审批服务管理局承办），县级政府（县行政审批服务管理局承办）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《企业投资项目核准和备案管理条例》</w:t>
            </w:r>
            <w:r>
              <w:rPr>
                <w:rFonts w:eastAsia="仿宋_GB2312"/>
                <w:kern w:val="0"/>
                <w:sz w:val="20"/>
                <w:szCs w:val="20"/>
              </w:rPr>
              <w:br w:type="textWrapping"/>
            </w:r>
            <w:r>
              <w:rPr>
                <w:rFonts w:eastAsia="仿宋_GB2312"/>
                <w:kern w:val="0"/>
                <w:sz w:val="20"/>
                <w:szCs w:val="20"/>
              </w:rPr>
              <w:t>《国务院关于发布政府核准的投资项目目录（2016年本）的通知》（国发〔2016〕72号）</w:t>
            </w:r>
          </w:p>
        </w:tc>
      </w:tr>
      <w:tr>
        <w:tblPrEx>
          <w:tblCellMar>
            <w:top w:w="0" w:type="dxa"/>
            <w:left w:w="108" w:type="dxa"/>
            <w:bottom w:w="0" w:type="dxa"/>
            <w:right w:w="108" w:type="dxa"/>
          </w:tblCellMar>
        </w:tblPrEx>
        <w:trPr>
          <w:trHeight w:val="139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民办、中外合作开办中等及以下学校和其他教育机构筹设审批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省教育厅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《中华人民共和国民办教育促进法》</w:t>
            </w:r>
            <w:r>
              <w:rPr>
                <w:rFonts w:eastAsia="仿宋_GB2312"/>
                <w:kern w:val="0"/>
                <w:sz w:val="20"/>
                <w:szCs w:val="20"/>
              </w:rPr>
              <w:br w:type="textWrapping"/>
            </w:r>
            <w:r>
              <w:rPr>
                <w:rFonts w:eastAsia="仿宋_GB2312"/>
                <w:kern w:val="0"/>
                <w:sz w:val="20"/>
                <w:szCs w:val="20"/>
              </w:rPr>
              <w:t>《中华人民共和国中外合作办学条例》</w:t>
            </w:r>
            <w:r>
              <w:rPr>
                <w:rFonts w:eastAsia="仿宋_GB2312"/>
                <w:kern w:val="0"/>
                <w:sz w:val="20"/>
                <w:szCs w:val="20"/>
              </w:rPr>
              <w:br w:type="textWrapping"/>
            </w:r>
            <w:r>
              <w:rPr>
                <w:rFonts w:eastAsia="仿宋_GB2312"/>
                <w:kern w:val="0"/>
                <w:sz w:val="20"/>
                <w:szCs w:val="20"/>
              </w:rPr>
              <w:t>《国务院关于当前发展学前教育的若干意见》（国发〔2010〕41号）</w:t>
            </w:r>
          </w:p>
        </w:tc>
      </w:tr>
      <w:tr>
        <w:tblPrEx>
          <w:tblCellMar>
            <w:top w:w="0" w:type="dxa"/>
            <w:left w:w="108" w:type="dxa"/>
            <w:bottom w:w="0" w:type="dxa"/>
            <w:right w:w="108" w:type="dxa"/>
          </w:tblCellMar>
        </w:tblPrEx>
        <w:trPr>
          <w:trHeight w:val="338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中等及以下学校和其他教育机构设置审批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省教育厅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《中华人民共和国教育法》</w:t>
            </w:r>
            <w:r>
              <w:rPr>
                <w:rFonts w:eastAsia="仿宋_GB2312"/>
                <w:kern w:val="0"/>
                <w:sz w:val="20"/>
                <w:szCs w:val="20"/>
              </w:rPr>
              <w:br w:type="textWrapping"/>
            </w:r>
            <w:r>
              <w:rPr>
                <w:rFonts w:eastAsia="仿宋_GB2312"/>
                <w:kern w:val="0"/>
                <w:sz w:val="20"/>
                <w:szCs w:val="20"/>
              </w:rPr>
              <w:t>《中华人民共和国民办教育促进法》</w:t>
            </w:r>
            <w:r>
              <w:rPr>
                <w:rFonts w:eastAsia="仿宋_GB2312"/>
                <w:kern w:val="0"/>
                <w:sz w:val="20"/>
                <w:szCs w:val="20"/>
              </w:rPr>
              <w:br w:type="textWrapping"/>
            </w:r>
            <w:r>
              <w:rPr>
                <w:rFonts w:eastAsia="仿宋_GB2312"/>
                <w:kern w:val="0"/>
                <w:sz w:val="20"/>
                <w:szCs w:val="20"/>
              </w:rPr>
              <w:t>《中华人民共和国民办教育促进法实施条例》</w:t>
            </w:r>
            <w:r>
              <w:rPr>
                <w:rFonts w:eastAsia="仿宋_GB2312"/>
                <w:kern w:val="0"/>
                <w:sz w:val="20"/>
                <w:szCs w:val="20"/>
              </w:rPr>
              <w:br w:type="textWrapping"/>
            </w:r>
            <w:r>
              <w:rPr>
                <w:rFonts w:eastAsia="仿宋_GB2312"/>
                <w:kern w:val="0"/>
                <w:sz w:val="20"/>
                <w:szCs w:val="20"/>
              </w:rPr>
              <w:t>《中华人民共和国中外合作办学条例》</w:t>
            </w:r>
            <w:r>
              <w:rPr>
                <w:rFonts w:eastAsia="仿宋_GB2312"/>
                <w:kern w:val="0"/>
                <w:sz w:val="20"/>
                <w:szCs w:val="20"/>
              </w:rPr>
              <w:br w:type="textWrapping"/>
            </w:r>
            <w:r>
              <w:rPr>
                <w:rFonts w:eastAsia="仿宋_GB2312"/>
                <w:kern w:val="0"/>
                <w:sz w:val="20"/>
                <w:szCs w:val="20"/>
              </w:rPr>
              <w:t>《国务院关于当前发展学前教育的若干意见》（国发〔2010〕41号）</w:t>
            </w:r>
            <w:r>
              <w:rPr>
                <w:rFonts w:eastAsia="仿宋_GB2312"/>
                <w:kern w:val="0"/>
                <w:sz w:val="20"/>
                <w:szCs w:val="20"/>
              </w:rPr>
              <w:br w:type="textWrapping"/>
            </w:r>
            <w:r>
              <w:rPr>
                <w:rFonts w:eastAsia="仿宋_GB2312"/>
                <w:kern w:val="0"/>
                <w:sz w:val="20"/>
                <w:szCs w:val="20"/>
              </w:rPr>
              <w:t>《国务院办公厅关于规范校外培训机构发展的意见》（国办发〔2018〕80号）</w:t>
            </w:r>
            <w:r>
              <w:rPr>
                <w:rFonts w:eastAsia="仿宋_GB2312"/>
                <w:kern w:val="0"/>
                <w:sz w:val="20"/>
                <w:szCs w:val="20"/>
              </w:rPr>
              <w:br w:type="textWrapping"/>
            </w:r>
            <w:r>
              <w:rPr>
                <w:rFonts w:eastAsia="仿宋_GB2312"/>
                <w:kern w:val="0"/>
                <w:sz w:val="20"/>
                <w:szCs w:val="20"/>
              </w:rPr>
              <w:t>《中共中央办公厅国务院办公厅印发〈关于进一步减轻义务教育阶段学生作业负担和校外培训负担的意见〉的通知》</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从事文艺、体育等专业训练的社会组织自行实施义务教育审批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省教育厅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县级教育部门或审批服务管理部门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《中华人民共和国义务教育法》</w:t>
            </w:r>
          </w:p>
        </w:tc>
      </w:tr>
      <w:tr>
        <w:tblPrEx>
          <w:tblCellMar>
            <w:top w:w="0" w:type="dxa"/>
            <w:left w:w="108" w:type="dxa"/>
            <w:bottom w:w="0" w:type="dxa"/>
            <w:right w:w="108" w:type="dxa"/>
          </w:tblCellMar>
        </w:tblPrEx>
        <w:trPr>
          <w:trHeight w:val="171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校车使用许可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省教育厅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pacing w:val="-6"/>
                <w:sz w:val="20"/>
                <w:szCs w:val="20"/>
              </w:rPr>
            </w:pPr>
            <w:r>
              <w:rPr>
                <w:rFonts w:eastAsia="仿宋_GB2312"/>
                <w:spacing w:val="-6"/>
                <w:kern w:val="0"/>
                <w:sz w:val="20"/>
                <w:szCs w:val="20"/>
              </w:rPr>
              <w:t>市政府（市教育局牵头会同公安局、交通局承办），县级政府（县教育部门牵头会同公安机关、交通运输部门承办）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《校车安全管理条例》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教师资格认定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省教育厅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《中华人民共和国教师法》</w:t>
            </w:r>
            <w:r>
              <w:rPr>
                <w:rFonts w:eastAsia="仿宋_GB2312"/>
                <w:kern w:val="0"/>
                <w:sz w:val="20"/>
                <w:szCs w:val="20"/>
              </w:rPr>
              <w:br w:type="textWrapping"/>
            </w:r>
            <w:r>
              <w:rPr>
                <w:rFonts w:eastAsia="仿宋_GB2312"/>
                <w:kern w:val="0"/>
                <w:sz w:val="20"/>
                <w:szCs w:val="20"/>
              </w:rPr>
              <w:t>《教师资格条例》</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98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适龄儿童、少年因身体状况需要延缓入学或者休学审批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省教育厅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县级教育部门、乡镇政府</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《中华人民共和国义务教育法》</w:t>
            </w:r>
          </w:p>
        </w:tc>
      </w:tr>
      <w:tr>
        <w:tblPrEx>
          <w:tblCellMar>
            <w:top w:w="0" w:type="dxa"/>
            <w:left w:w="108" w:type="dxa"/>
            <w:bottom w:w="0" w:type="dxa"/>
            <w:right w:w="108" w:type="dxa"/>
          </w:tblCellMar>
        </w:tblPrEx>
        <w:trPr>
          <w:trHeight w:val="71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民用枪支及枪支主要零部件、弹药配置许可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《中华人民共和国枪支管理法》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民用枪支持枪许可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《中华人民共和国枪支管理法》</w:t>
            </w:r>
          </w:p>
        </w:tc>
      </w:tr>
      <w:tr>
        <w:tblPrEx>
          <w:tblCellMar>
            <w:top w:w="0" w:type="dxa"/>
            <w:left w:w="108" w:type="dxa"/>
            <w:bottom w:w="0" w:type="dxa"/>
            <w:right w:w="108" w:type="dxa"/>
          </w:tblCellMar>
        </w:tblPrEx>
        <w:trPr>
          <w:trHeight w:val="77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枪支及枪支主要零部件、弹药运输许可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《中华人民共和国枪支管理法》</w:t>
            </w:r>
          </w:p>
        </w:tc>
      </w:tr>
      <w:tr>
        <w:tblPrEx>
          <w:tblCellMar>
            <w:top w:w="0" w:type="dxa"/>
            <w:left w:w="108" w:type="dxa"/>
            <w:bottom w:w="0" w:type="dxa"/>
            <w:right w:w="108" w:type="dxa"/>
          </w:tblCellMar>
        </w:tblPrEx>
        <w:trPr>
          <w:trHeight w:val="98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射击竞技体育运动枪支及枪支主要零部件、弹药携运许可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《中华人民共和国枪支管理法》</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举行集会游行示威许可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《中华人民共和国集会游行示威法》</w:t>
            </w:r>
            <w:r>
              <w:rPr>
                <w:rFonts w:eastAsia="仿宋_GB2312"/>
                <w:kern w:val="0"/>
                <w:sz w:val="20"/>
                <w:szCs w:val="20"/>
              </w:rPr>
              <w:br w:type="textWrapping"/>
            </w:r>
            <w:r>
              <w:rPr>
                <w:rFonts w:eastAsia="仿宋_GB2312"/>
                <w:kern w:val="0"/>
                <w:sz w:val="20"/>
                <w:szCs w:val="20"/>
              </w:rPr>
              <w:t>《中华人民共和国集会游行示威法实施条例》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eastAsia="仿宋_GB2312"/>
                <w:kern w:val="0"/>
                <w:sz w:val="20"/>
                <w:szCs w:val="20"/>
              </w:rPr>
            </w:pPr>
            <w:r>
              <w:rPr>
                <w:rFonts w:eastAsia="仿宋_GB2312"/>
                <w:kern w:val="0"/>
                <w:sz w:val="20"/>
                <w:szCs w:val="20"/>
              </w:rPr>
              <w:t>大型群众性活动安全</w:t>
            </w:r>
          </w:p>
          <w:p>
            <w:pPr>
              <w:widowControl/>
              <w:spacing w:line="280" w:lineRule="exact"/>
              <w:jc w:val="left"/>
              <w:textAlignment w:val="center"/>
              <w:rPr>
                <w:rFonts w:eastAsia="仿宋_GB2312"/>
                <w:sz w:val="20"/>
                <w:szCs w:val="20"/>
              </w:rPr>
            </w:pPr>
            <w:r>
              <w:rPr>
                <w:rFonts w:eastAsia="仿宋_GB2312"/>
                <w:kern w:val="0"/>
                <w:sz w:val="20"/>
                <w:szCs w:val="20"/>
              </w:rPr>
              <w:t>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《中华人民共和国消防法》</w:t>
            </w:r>
            <w:r>
              <w:rPr>
                <w:rFonts w:eastAsia="仿宋_GB2312"/>
                <w:kern w:val="0"/>
                <w:sz w:val="20"/>
                <w:szCs w:val="20"/>
              </w:rPr>
              <w:br w:type="textWrapping"/>
            </w:r>
            <w:r>
              <w:rPr>
                <w:rFonts w:eastAsia="仿宋_GB2312"/>
                <w:kern w:val="0"/>
                <w:sz w:val="20"/>
                <w:szCs w:val="20"/>
              </w:rPr>
              <w:t>《大型群众性活动安全管理条例》</w:t>
            </w:r>
          </w:p>
        </w:tc>
      </w:tr>
      <w:tr>
        <w:tblPrEx>
          <w:tblCellMar>
            <w:top w:w="0" w:type="dxa"/>
            <w:left w:w="108" w:type="dxa"/>
            <w:bottom w:w="0" w:type="dxa"/>
            <w:right w:w="108" w:type="dxa"/>
          </w:tblCellMar>
        </w:tblPrEx>
        <w:trPr>
          <w:trHeight w:val="152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eastAsia="仿宋_GB2312"/>
                <w:kern w:val="0"/>
                <w:sz w:val="20"/>
                <w:szCs w:val="20"/>
              </w:rPr>
            </w:pPr>
            <w:r>
              <w:rPr>
                <w:rFonts w:eastAsia="仿宋_GB2312"/>
                <w:kern w:val="0"/>
                <w:sz w:val="20"/>
                <w:szCs w:val="20"/>
              </w:rPr>
              <w:t>公章刻制业特种行业</w:t>
            </w:r>
          </w:p>
          <w:p>
            <w:pPr>
              <w:widowControl/>
              <w:spacing w:line="280" w:lineRule="exact"/>
              <w:jc w:val="left"/>
              <w:textAlignment w:val="center"/>
              <w:rPr>
                <w:rFonts w:eastAsia="仿宋_GB2312"/>
                <w:sz w:val="20"/>
                <w:szCs w:val="20"/>
              </w:rPr>
            </w:pPr>
            <w:r>
              <w:rPr>
                <w:rFonts w:eastAsia="仿宋_GB2312"/>
                <w:kern w:val="0"/>
                <w:sz w:val="20"/>
                <w:szCs w:val="20"/>
              </w:rPr>
              <w:t>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《印铸刻字业暂行管理规则》</w:t>
            </w:r>
            <w:r>
              <w:rPr>
                <w:rFonts w:eastAsia="仿宋_GB2312"/>
                <w:kern w:val="0"/>
                <w:sz w:val="20"/>
                <w:szCs w:val="20"/>
              </w:rPr>
              <w:br w:type="textWrapping"/>
            </w: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155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旅馆业特种行业许可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《旅馆业治安管理办法》</w:t>
            </w:r>
            <w:r>
              <w:rPr>
                <w:rFonts w:eastAsia="仿宋_GB2312"/>
                <w:kern w:val="0"/>
                <w:sz w:val="20"/>
                <w:szCs w:val="20"/>
              </w:rPr>
              <w:br w:type="textWrapping"/>
            </w: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《公安部关于深化娱乐服务场所和特种行业治安管理改革进一步依法加强事中事后监管的工作意见》（公治〔2017〕529号）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保安服务公司设立及法定代表人变更许可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《保安服务管理条例》</w:t>
            </w:r>
            <w:r>
              <w:rPr>
                <w:rFonts w:eastAsia="仿宋_GB2312"/>
                <w:kern w:val="0"/>
                <w:sz w:val="20"/>
                <w:szCs w:val="20"/>
              </w:rPr>
              <w:br w:type="textWrapping"/>
            </w:r>
            <w:r>
              <w:rPr>
                <w:rFonts w:eastAsia="仿宋_GB2312"/>
                <w:kern w:val="0"/>
                <w:sz w:val="20"/>
                <w:szCs w:val="20"/>
              </w:rPr>
              <w:t>《公安部关于印发〈保安守护押运公司管理规定〉的通知》（公通字〔2017〕13号）</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保安员证核发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《保安服务管理条例》</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69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互联网上网服务营业场所信息网络安全审核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《互联网上网服务营业场所管理条例》</w:t>
            </w:r>
          </w:p>
        </w:tc>
      </w:tr>
      <w:tr>
        <w:tblPrEx>
          <w:tblCellMar>
            <w:top w:w="0" w:type="dxa"/>
            <w:left w:w="108" w:type="dxa"/>
            <w:bottom w:w="0" w:type="dxa"/>
            <w:right w:w="108" w:type="dxa"/>
          </w:tblCellMar>
        </w:tblPrEx>
        <w:trPr>
          <w:trHeight w:val="126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举办焰火晚会及其他大型焰火燃放活动许可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《烟花爆竹安全管理条例》</w:t>
            </w:r>
            <w:r>
              <w:rPr>
                <w:rFonts w:eastAsia="仿宋_GB2312"/>
                <w:kern w:val="0"/>
                <w:sz w:val="20"/>
                <w:szCs w:val="20"/>
              </w:rPr>
              <w:br w:type="textWrapping"/>
            </w:r>
            <w:r>
              <w:rPr>
                <w:rFonts w:eastAsia="仿宋_GB2312"/>
                <w:kern w:val="0"/>
                <w:sz w:val="20"/>
                <w:szCs w:val="20"/>
              </w:rPr>
              <w:t>《公安部办公厅关于贯彻执行〈大型焰火燃放作业人员资格条件及管理〉和〈大型焰火燃放作业单位资质条件及管理〉有关事项的通知》（公治〔2010〕592号）</w:t>
            </w:r>
          </w:p>
        </w:tc>
      </w:tr>
      <w:tr>
        <w:tblPrEx>
          <w:tblCellMar>
            <w:top w:w="0" w:type="dxa"/>
            <w:left w:w="108" w:type="dxa"/>
            <w:bottom w:w="0" w:type="dxa"/>
            <w:right w:w="108" w:type="dxa"/>
          </w:tblCellMar>
        </w:tblPrEx>
        <w:trPr>
          <w:trHeight w:val="125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烟花爆竹道路运输许可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《烟花爆竹安全管理条例》</w:t>
            </w:r>
            <w:r>
              <w:rPr>
                <w:rFonts w:eastAsia="仿宋_GB2312"/>
                <w:kern w:val="0"/>
                <w:sz w:val="20"/>
                <w:szCs w:val="20"/>
              </w:rPr>
              <w:br w:type="textWrapping"/>
            </w:r>
            <w:r>
              <w:rPr>
                <w:rFonts w:eastAsia="仿宋_GB2312"/>
                <w:kern w:val="0"/>
                <w:sz w:val="20"/>
                <w:szCs w:val="20"/>
              </w:rPr>
              <w:t>《公安部三局关于优化烟花爆竹道路运输许可审批进一步深化烟花爆竹“放管服改革工作的通知》（公治安明发〔2019〕218号）</w:t>
            </w:r>
          </w:p>
        </w:tc>
      </w:tr>
      <w:tr>
        <w:tblPrEx>
          <w:tblCellMar>
            <w:top w:w="0" w:type="dxa"/>
            <w:left w:w="108" w:type="dxa"/>
            <w:bottom w:w="0" w:type="dxa"/>
            <w:right w:w="108" w:type="dxa"/>
          </w:tblCellMar>
        </w:tblPrEx>
        <w:trPr>
          <w:trHeight w:val="54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民用爆炸物品购买许可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《民用爆炸物品安全管理条例》</w:t>
            </w:r>
          </w:p>
        </w:tc>
      </w:tr>
      <w:tr>
        <w:tblPrEx>
          <w:tblCellMar>
            <w:top w:w="0" w:type="dxa"/>
            <w:left w:w="108" w:type="dxa"/>
            <w:bottom w:w="0" w:type="dxa"/>
            <w:right w:w="108" w:type="dxa"/>
          </w:tblCellMar>
        </w:tblPrEx>
        <w:trPr>
          <w:trHeight w:val="55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民用爆炸物品运输许可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《民用爆炸物品安全管理条例》</w:t>
            </w:r>
          </w:p>
        </w:tc>
      </w:tr>
      <w:tr>
        <w:tblPrEx>
          <w:tblCellMar>
            <w:top w:w="0" w:type="dxa"/>
            <w:left w:w="108" w:type="dxa"/>
            <w:bottom w:w="0" w:type="dxa"/>
            <w:right w:w="108" w:type="dxa"/>
          </w:tblCellMar>
        </w:tblPrEx>
        <w:trPr>
          <w:trHeight w:val="84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爆破作业单位许可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《民用爆炸物品安全管理条例》</w:t>
            </w:r>
            <w:r>
              <w:rPr>
                <w:rFonts w:eastAsia="仿宋_GB2312"/>
                <w:kern w:val="0"/>
                <w:sz w:val="20"/>
                <w:szCs w:val="20"/>
              </w:rPr>
              <w:br w:type="textWrapping"/>
            </w:r>
            <w:r>
              <w:rPr>
                <w:rFonts w:eastAsia="仿宋_GB2312"/>
                <w:kern w:val="0"/>
                <w:sz w:val="20"/>
                <w:szCs w:val="20"/>
              </w:rPr>
              <w:t>《爆破作业单位资质条件和管理要求》（GA990-2012）</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爆破作业人员资格认定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《民用爆炸物品安全管理条例》</w:t>
            </w:r>
          </w:p>
        </w:tc>
      </w:tr>
      <w:tr>
        <w:tblPrEx>
          <w:tblCellMar>
            <w:top w:w="0" w:type="dxa"/>
            <w:left w:w="108" w:type="dxa"/>
            <w:bottom w:w="0" w:type="dxa"/>
            <w:right w:w="108" w:type="dxa"/>
          </w:tblCellMar>
        </w:tblPrEx>
        <w:trPr>
          <w:trHeight w:val="106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城市、风景名胜区和重要工程设施附近实施爆破作业审批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《民用爆炸物品安全管理条例》</w:t>
            </w:r>
          </w:p>
        </w:tc>
      </w:tr>
      <w:tr>
        <w:tblPrEx>
          <w:tblCellMar>
            <w:top w:w="0" w:type="dxa"/>
            <w:left w:w="108" w:type="dxa"/>
            <w:bottom w:w="0" w:type="dxa"/>
            <w:right w:w="108" w:type="dxa"/>
          </w:tblCellMar>
        </w:tblPrEx>
        <w:trPr>
          <w:trHeight w:val="55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剧毒化学品购买许可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《危险化学品安全管理条例》</w:t>
            </w:r>
          </w:p>
        </w:tc>
      </w:tr>
      <w:tr>
        <w:tblPrEx>
          <w:tblCellMar>
            <w:top w:w="0" w:type="dxa"/>
            <w:left w:w="108" w:type="dxa"/>
            <w:bottom w:w="0" w:type="dxa"/>
            <w:right w:w="108" w:type="dxa"/>
          </w:tblCellMar>
        </w:tblPrEx>
        <w:trPr>
          <w:trHeight w:val="70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剧毒化学品道路运输通行许可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《危险化学品安全管理条例》</w:t>
            </w:r>
          </w:p>
        </w:tc>
      </w:tr>
      <w:tr>
        <w:tblPrEx>
          <w:tblCellMar>
            <w:top w:w="0" w:type="dxa"/>
            <w:left w:w="108" w:type="dxa"/>
            <w:bottom w:w="0" w:type="dxa"/>
            <w:right w:w="108" w:type="dxa"/>
          </w:tblCellMar>
        </w:tblPrEx>
        <w:trPr>
          <w:trHeight w:val="82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eastAsia="仿宋_GB2312"/>
                <w:kern w:val="0"/>
                <w:sz w:val="20"/>
                <w:szCs w:val="20"/>
              </w:rPr>
            </w:pPr>
            <w:r>
              <w:rPr>
                <w:rFonts w:eastAsia="仿宋_GB2312"/>
                <w:kern w:val="0"/>
                <w:sz w:val="20"/>
                <w:szCs w:val="20"/>
              </w:rPr>
              <w:t>放射性物品道路运输</w:t>
            </w:r>
          </w:p>
          <w:p>
            <w:pPr>
              <w:widowControl/>
              <w:spacing w:line="280" w:lineRule="exact"/>
              <w:jc w:val="left"/>
              <w:textAlignment w:val="center"/>
              <w:rPr>
                <w:rFonts w:eastAsia="仿宋_GB2312"/>
                <w:sz w:val="20"/>
                <w:szCs w:val="20"/>
              </w:rPr>
            </w:pPr>
            <w:r>
              <w:rPr>
                <w:rFonts w:eastAsia="仿宋_GB2312"/>
                <w:kern w:val="0"/>
                <w:sz w:val="20"/>
                <w:szCs w:val="20"/>
              </w:rPr>
              <w:t>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《中华人民共和国核安全法》</w:t>
            </w:r>
            <w:r>
              <w:rPr>
                <w:rFonts w:eastAsia="仿宋_GB2312"/>
                <w:kern w:val="0"/>
                <w:sz w:val="20"/>
                <w:szCs w:val="20"/>
              </w:rPr>
              <w:br w:type="textWrapping"/>
            </w:r>
            <w:r>
              <w:rPr>
                <w:rFonts w:eastAsia="仿宋_GB2312"/>
                <w:kern w:val="0"/>
                <w:sz w:val="20"/>
                <w:szCs w:val="20"/>
              </w:rPr>
              <w:t>《放射性物品运输安全管理条例》</w:t>
            </w:r>
          </w:p>
        </w:tc>
      </w:tr>
      <w:tr>
        <w:tblPrEx>
          <w:tblCellMar>
            <w:top w:w="0" w:type="dxa"/>
            <w:left w:w="108" w:type="dxa"/>
            <w:bottom w:w="0" w:type="dxa"/>
            <w:right w:w="108" w:type="dxa"/>
          </w:tblCellMar>
        </w:tblPrEx>
        <w:trPr>
          <w:trHeight w:val="113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运输危险化学品的车辆进入危险化学品运输车辆限制通行区域审批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《危险化学品安全管理条例》</w:t>
            </w:r>
          </w:p>
        </w:tc>
      </w:tr>
      <w:tr>
        <w:tblPrEx>
          <w:tblCellMar>
            <w:top w:w="0" w:type="dxa"/>
            <w:left w:w="108" w:type="dxa"/>
            <w:bottom w:w="0" w:type="dxa"/>
            <w:right w:w="108" w:type="dxa"/>
          </w:tblCellMar>
        </w:tblPrEx>
        <w:trPr>
          <w:trHeight w:val="112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易制毒化学品购买许可（除第一类中的药品类易制毒化学品外）</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《中华人民共和国禁毒法》</w:t>
            </w:r>
            <w:r>
              <w:rPr>
                <w:rFonts w:eastAsia="仿宋_GB2312"/>
                <w:kern w:val="0"/>
                <w:sz w:val="20"/>
                <w:szCs w:val="20"/>
              </w:rPr>
              <w:br w:type="textWrapping"/>
            </w:r>
            <w:r>
              <w:rPr>
                <w:rFonts w:eastAsia="仿宋_GB2312"/>
                <w:kern w:val="0"/>
                <w:sz w:val="20"/>
                <w:szCs w:val="20"/>
              </w:rPr>
              <w:t>《易制毒化学品管理条例》</w:t>
            </w:r>
          </w:p>
        </w:tc>
      </w:tr>
      <w:tr>
        <w:tblPrEx>
          <w:tblCellMar>
            <w:top w:w="0" w:type="dxa"/>
            <w:left w:w="108" w:type="dxa"/>
            <w:bottom w:w="0" w:type="dxa"/>
            <w:right w:w="108" w:type="dxa"/>
          </w:tblCellMar>
        </w:tblPrEx>
        <w:trPr>
          <w:trHeight w:val="69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易制毒化学品运输许可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《中华人民共和国禁毒法》</w:t>
            </w:r>
            <w:r>
              <w:rPr>
                <w:rFonts w:eastAsia="仿宋_GB2312"/>
                <w:kern w:val="0"/>
                <w:sz w:val="20"/>
                <w:szCs w:val="20"/>
              </w:rPr>
              <w:br w:type="textWrapping"/>
            </w:r>
            <w:r>
              <w:rPr>
                <w:rFonts w:eastAsia="仿宋_GB2312"/>
                <w:kern w:val="0"/>
                <w:sz w:val="20"/>
                <w:szCs w:val="20"/>
              </w:rPr>
              <w:t>《易制毒化学品管理条例》</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金融机构营业场所和金库安全防范设施建设方案审批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《金融机构营业场所和金库安全防范设施建设许可实施办法》（公安部令第86号）</w:t>
            </w:r>
          </w:p>
        </w:tc>
      </w:tr>
      <w:tr>
        <w:tblPrEx>
          <w:tblCellMar>
            <w:top w:w="0" w:type="dxa"/>
            <w:left w:w="108" w:type="dxa"/>
            <w:bottom w:w="0" w:type="dxa"/>
            <w:right w:w="108" w:type="dxa"/>
          </w:tblCellMar>
        </w:tblPrEx>
        <w:trPr>
          <w:trHeight w:val="10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金融机构营业场所和金库安全防范设施建设工程验收</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《金融机构营业场所和金库安全防范设施建设许可实施办法》（公安部令第86号）</w:t>
            </w:r>
          </w:p>
        </w:tc>
      </w:tr>
      <w:tr>
        <w:tblPrEx>
          <w:tblCellMar>
            <w:top w:w="0" w:type="dxa"/>
            <w:left w:w="108" w:type="dxa"/>
            <w:bottom w:w="0" w:type="dxa"/>
            <w:right w:w="108" w:type="dxa"/>
          </w:tblCellMar>
        </w:tblPrEx>
        <w:trPr>
          <w:trHeight w:val="81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机动车登记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eastAsia="仿宋_GB2312"/>
                <w:kern w:val="0"/>
                <w:sz w:val="20"/>
                <w:szCs w:val="20"/>
              </w:rPr>
            </w:pPr>
            <w:r>
              <w:rPr>
                <w:rFonts w:eastAsia="仿宋_GB2312"/>
                <w:kern w:val="0"/>
                <w:sz w:val="20"/>
                <w:szCs w:val="20"/>
              </w:rPr>
              <w:t>市公安局，县级公安</w:t>
            </w:r>
          </w:p>
          <w:p>
            <w:pPr>
              <w:widowControl/>
              <w:spacing w:line="280" w:lineRule="exact"/>
              <w:jc w:val="left"/>
              <w:textAlignment w:val="center"/>
              <w:rPr>
                <w:rFonts w:eastAsia="仿宋_GB2312"/>
                <w:sz w:val="20"/>
                <w:szCs w:val="20"/>
              </w:rPr>
            </w:pPr>
            <w:r>
              <w:rPr>
                <w:rFonts w:eastAsia="仿宋_GB2312"/>
                <w:kern w:val="0"/>
                <w:sz w:val="20"/>
                <w:szCs w:val="20"/>
              </w:rPr>
              <w:t>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p>
        </w:tc>
      </w:tr>
      <w:tr>
        <w:tblPrEx>
          <w:tblCellMar>
            <w:top w:w="0" w:type="dxa"/>
            <w:left w:w="108" w:type="dxa"/>
            <w:bottom w:w="0" w:type="dxa"/>
            <w:right w:w="108" w:type="dxa"/>
          </w:tblCellMar>
        </w:tblPrEx>
        <w:trPr>
          <w:trHeight w:val="7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eastAsia="仿宋_GB2312"/>
                <w:kern w:val="0"/>
                <w:sz w:val="20"/>
                <w:szCs w:val="20"/>
              </w:rPr>
            </w:pPr>
            <w:r>
              <w:rPr>
                <w:rFonts w:eastAsia="仿宋_GB2312"/>
                <w:kern w:val="0"/>
                <w:sz w:val="20"/>
                <w:szCs w:val="20"/>
              </w:rPr>
              <w:t>机动车临时通行牌证</w:t>
            </w:r>
          </w:p>
          <w:p>
            <w:pPr>
              <w:widowControl/>
              <w:spacing w:line="280" w:lineRule="exact"/>
              <w:jc w:val="left"/>
              <w:textAlignment w:val="center"/>
              <w:rPr>
                <w:rFonts w:eastAsia="仿宋_GB2312"/>
                <w:sz w:val="20"/>
                <w:szCs w:val="20"/>
              </w:rPr>
            </w:pPr>
            <w:r>
              <w:rPr>
                <w:rFonts w:eastAsia="仿宋_GB2312"/>
                <w:kern w:val="0"/>
                <w:sz w:val="20"/>
                <w:szCs w:val="20"/>
              </w:rPr>
              <w:t>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p>
        </w:tc>
      </w:tr>
      <w:tr>
        <w:tblPrEx>
          <w:tblCellMar>
            <w:top w:w="0" w:type="dxa"/>
            <w:left w:w="108" w:type="dxa"/>
            <w:bottom w:w="0" w:type="dxa"/>
            <w:right w:w="108" w:type="dxa"/>
          </w:tblCellMar>
        </w:tblPrEx>
        <w:trPr>
          <w:trHeight w:val="69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eastAsia="仿宋_GB2312"/>
                <w:kern w:val="0"/>
                <w:sz w:val="20"/>
                <w:szCs w:val="20"/>
              </w:rPr>
            </w:pPr>
            <w:r>
              <w:rPr>
                <w:rFonts w:eastAsia="仿宋_GB2312"/>
                <w:kern w:val="0"/>
                <w:sz w:val="20"/>
                <w:szCs w:val="20"/>
              </w:rPr>
              <w:t>机动车检验合格标志</w:t>
            </w:r>
          </w:p>
          <w:p>
            <w:pPr>
              <w:widowControl/>
              <w:spacing w:line="280" w:lineRule="exact"/>
              <w:jc w:val="left"/>
              <w:textAlignment w:val="center"/>
              <w:rPr>
                <w:rFonts w:eastAsia="仿宋_GB2312"/>
                <w:sz w:val="20"/>
                <w:szCs w:val="20"/>
              </w:rPr>
            </w:pPr>
            <w:r>
              <w:rPr>
                <w:rFonts w:eastAsia="仿宋_GB2312"/>
                <w:kern w:val="0"/>
                <w:sz w:val="20"/>
                <w:szCs w:val="20"/>
              </w:rPr>
              <w:t>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p>
        </w:tc>
      </w:tr>
      <w:tr>
        <w:tblPrEx>
          <w:tblCellMar>
            <w:top w:w="0" w:type="dxa"/>
            <w:left w:w="108" w:type="dxa"/>
            <w:bottom w:w="0" w:type="dxa"/>
            <w:right w:w="108" w:type="dxa"/>
          </w:tblCellMar>
        </w:tblPrEx>
        <w:trPr>
          <w:trHeight w:val="45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机动车驾驶证核发、审验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p>
        </w:tc>
      </w:tr>
      <w:tr>
        <w:tblPrEx>
          <w:tblCellMar>
            <w:top w:w="0" w:type="dxa"/>
            <w:left w:w="108" w:type="dxa"/>
            <w:bottom w:w="0" w:type="dxa"/>
            <w:right w:w="108" w:type="dxa"/>
          </w:tblCellMar>
        </w:tblPrEx>
        <w:trPr>
          <w:trHeight w:val="45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校车驾驶资格许可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《校车安全管理条例》</w:t>
            </w:r>
          </w:p>
        </w:tc>
      </w:tr>
      <w:tr>
        <w:tblPrEx>
          <w:tblCellMar>
            <w:top w:w="0" w:type="dxa"/>
            <w:left w:w="108" w:type="dxa"/>
            <w:bottom w:w="0" w:type="dxa"/>
            <w:right w:w="108" w:type="dxa"/>
          </w:tblCellMar>
        </w:tblPrEx>
        <w:trPr>
          <w:trHeight w:val="45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非机动车登记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涉路施工交通安全审查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r>
              <w:rPr>
                <w:rFonts w:eastAsia="仿宋_GB2312"/>
                <w:kern w:val="0"/>
                <w:sz w:val="20"/>
                <w:szCs w:val="20"/>
              </w:rPr>
              <w:br w:type="textWrapping"/>
            </w:r>
            <w:r>
              <w:rPr>
                <w:rFonts w:eastAsia="仿宋_GB2312"/>
                <w:kern w:val="0"/>
                <w:sz w:val="20"/>
                <w:szCs w:val="20"/>
              </w:rPr>
              <w:t>《中华人民共和国公路法》</w:t>
            </w:r>
            <w:r>
              <w:rPr>
                <w:rFonts w:eastAsia="仿宋_GB2312"/>
                <w:kern w:val="0"/>
                <w:sz w:val="20"/>
                <w:szCs w:val="20"/>
              </w:rPr>
              <w:br w:type="textWrapping"/>
            </w:r>
            <w:r>
              <w:rPr>
                <w:rFonts w:eastAsia="仿宋_GB2312"/>
                <w:kern w:val="0"/>
                <w:sz w:val="20"/>
                <w:szCs w:val="20"/>
              </w:rPr>
              <w:t>《城市道路管理条例》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户口迁移审批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《中华人民共和国户口登记条例》</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犬类准养证核发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《中华人民共和国动物防疫法》</w:t>
            </w:r>
            <w:r>
              <w:rPr>
                <w:rFonts w:eastAsia="仿宋_GB2312"/>
                <w:kern w:val="0"/>
                <w:sz w:val="20"/>
                <w:szCs w:val="20"/>
              </w:rPr>
              <w:br w:type="textWrapping"/>
            </w:r>
            <w:r>
              <w:rPr>
                <w:rFonts w:eastAsia="仿宋_GB2312"/>
                <w:kern w:val="0"/>
                <w:sz w:val="20"/>
                <w:szCs w:val="20"/>
              </w:rPr>
              <w:t>《中华人民共和国传染病防治法实施办法》</w:t>
            </w:r>
            <w:r>
              <w:rPr>
                <w:rFonts w:eastAsia="仿宋_GB2312"/>
                <w:kern w:val="0"/>
                <w:sz w:val="20"/>
                <w:szCs w:val="20"/>
              </w:rPr>
              <w:br w:type="textWrapping"/>
            </w:r>
            <w:r>
              <w:rPr>
                <w:rFonts w:eastAsia="仿宋_GB2312"/>
                <w:kern w:val="0"/>
                <w:sz w:val="20"/>
                <w:szCs w:val="20"/>
              </w:rPr>
              <w:t>《忻州市养犬管理条例》</w:t>
            </w:r>
          </w:p>
        </w:tc>
      </w:tr>
      <w:tr>
        <w:tblPrEx>
          <w:tblCellMar>
            <w:top w:w="0" w:type="dxa"/>
            <w:left w:w="108" w:type="dxa"/>
            <w:bottom w:w="0" w:type="dxa"/>
            <w:right w:w="108" w:type="dxa"/>
          </w:tblCellMar>
        </w:tblPrEx>
        <w:trPr>
          <w:trHeight w:val="69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普通护照签发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市公安局、县级公安机关出入境管理机构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《中华人民共和国护照法》</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出入境通行证签发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市公安局，县级公安机关出入境管理机构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《中华人民共和国护照法》</w:t>
            </w:r>
            <w:r>
              <w:rPr>
                <w:rFonts w:eastAsia="仿宋_GB2312"/>
                <w:kern w:val="0"/>
                <w:sz w:val="20"/>
                <w:szCs w:val="20"/>
              </w:rPr>
              <w:br w:type="textWrapping"/>
            </w:r>
            <w:r>
              <w:rPr>
                <w:rFonts w:eastAsia="仿宋_GB2312"/>
                <w:kern w:val="0"/>
                <w:sz w:val="20"/>
                <w:szCs w:val="20"/>
              </w:rPr>
              <w:t>《中国公民因私事往来香港地区或者澳门地区的暂行管理办法》</w:t>
            </w:r>
          </w:p>
        </w:tc>
      </w:tr>
      <w:tr>
        <w:tblPrEx>
          <w:tblCellMar>
            <w:top w:w="0" w:type="dxa"/>
            <w:left w:w="108" w:type="dxa"/>
            <w:bottom w:w="0" w:type="dxa"/>
            <w:right w:w="108" w:type="dxa"/>
          </w:tblCellMar>
        </w:tblPrEx>
        <w:trPr>
          <w:trHeight w:val="10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内地居民前往港澳通行证、往来港澳通行证及签注签发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市公安局，县级公安机关出入境管理机构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《中国公民因私事往来香港地区或者澳门地区的暂行管理办法》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港澳居民来往内地通行证签发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《中国公民因私事往来香港地区或者澳门地区的暂行管理办法》</w:t>
            </w:r>
          </w:p>
        </w:tc>
      </w:tr>
      <w:tr>
        <w:tblPrEx>
          <w:tblCellMar>
            <w:top w:w="0" w:type="dxa"/>
            <w:left w:w="108" w:type="dxa"/>
            <w:bottom w:w="0" w:type="dxa"/>
            <w:right w:w="108" w:type="dxa"/>
          </w:tblCellMar>
        </w:tblPrEx>
        <w:trPr>
          <w:trHeight w:val="68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大陆居民往来台湾通行证及签注签发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市公安局，县级公安机关出入境管理机构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《中国公民往来台湾地区管理办法》</w:t>
            </w:r>
          </w:p>
        </w:tc>
      </w:tr>
      <w:tr>
        <w:tblPrEx>
          <w:tblCellMar>
            <w:top w:w="0" w:type="dxa"/>
            <w:left w:w="108" w:type="dxa"/>
            <w:bottom w:w="0" w:type="dxa"/>
            <w:right w:w="108" w:type="dxa"/>
          </w:tblCellMar>
        </w:tblPrEx>
        <w:trPr>
          <w:trHeight w:val="83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台湾居民来往大陆通行证签发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省公安厅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市公安局，县级公安机关出入境管理机构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《中国公民往来台湾地区管理办法》</w:t>
            </w:r>
          </w:p>
        </w:tc>
      </w:tr>
      <w:tr>
        <w:tblPrEx>
          <w:tblCellMar>
            <w:top w:w="0" w:type="dxa"/>
            <w:left w:w="108" w:type="dxa"/>
            <w:bottom w:w="0" w:type="dxa"/>
            <w:right w:w="108" w:type="dxa"/>
          </w:tblCellMar>
        </w:tblPrEx>
        <w:trPr>
          <w:trHeight w:val="69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社会团体成立、变更、注销登记及修改章程核准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省民政厅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《社会团体登记管理条例》</w:t>
            </w:r>
          </w:p>
        </w:tc>
      </w:tr>
      <w:tr>
        <w:tblPrEx>
          <w:tblCellMar>
            <w:top w:w="0" w:type="dxa"/>
            <w:left w:w="108" w:type="dxa"/>
            <w:bottom w:w="0" w:type="dxa"/>
            <w:right w:w="108" w:type="dxa"/>
          </w:tblCellMar>
        </w:tblPrEx>
        <w:trPr>
          <w:trHeight w:val="98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民办非企业单位成立、变更、注销登记及修改章程核准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省民政厅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《民办非企业单位登记管理暂行条例》</w:t>
            </w:r>
          </w:p>
        </w:tc>
      </w:tr>
      <w:tr>
        <w:tblPrEx>
          <w:tblCellMar>
            <w:top w:w="0" w:type="dxa"/>
            <w:left w:w="108" w:type="dxa"/>
            <w:bottom w:w="0" w:type="dxa"/>
            <w:right w:w="108" w:type="dxa"/>
          </w:tblCellMar>
        </w:tblPrEx>
        <w:trPr>
          <w:trHeight w:val="6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宗教活动场所法人成立、变更、注销登记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省民政厅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县级民政部门（县级宗教部门实施前置审查）</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p>
        </w:tc>
      </w:tr>
      <w:tr>
        <w:tblPrEx>
          <w:tblCellMar>
            <w:top w:w="0" w:type="dxa"/>
            <w:left w:w="108" w:type="dxa"/>
            <w:bottom w:w="0" w:type="dxa"/>
            <w:right w:w="108" w:type="dxa"/>
          </w:tblCellMar>
        </w:tblPrEx>
        <w:trPr>
          <w:trHeight w:val="99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慈善组织公开募捐资格审批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省民政厅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市行政审批服务管理局，县级民政局或审批服务管理部门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《中华人民共和国慈善法》</w:t>
            </w:r>
          </w:p>
        </w:tc>
      </w:tr>
      <w:tr>
        <w:tblPrEx>
          <w:tblCellMar>
            <w:top w:w="0" w:type="dxa"/>
            <w:left w:w="108" w:type="dxa"/>
            <w:bottom w:w="0" w:type="dxa"/>
            <w:right w:w="108" w:type="dxa"/>
          </w:tblCellMar>
        </w:tblPrEx>
        <w:trPr>
          <w:trHeight w:val="96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殡葬设施建设审批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省民政厅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市、县级政府，市、县审批局（由乡级人民政府初审）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《殡葬管理条例》</w:t>
            </w:r>
          </w:p>
        </w:tc>
      </w:tr>
      <w:tr>
        <w:tblPrEx>
          <w:tblCellMar>
            <w:top w:w="0" w:type="dxa"/>
            <w:left w:w="108" w:type="dxa"/>
            <w:bottom w:w="0" w:type="dxa"/>
            <w:right w:w="108" w:type="dxa"/>
          </w:tblCellMar>
        </w:tblPrEx>
        <w:trPr>
          <w:trHeight w:val="55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地名命名、更名审批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省民政厅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市民政局，县级有关部门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《地名管理条例》</w:t>
            </w:r>
          </w:p>
        </w:tc>
      </w:tr>
      <w:tr>
        <w:tblPrEx>
          <w:tblCellMar>
            <w:top w:w="0" w:type="dxa"/>
            <w:left w:w="108" w:type="dxa"/>
            <w:bottom w:w="0" w:type="dxa"/>
            <w:right w:w="108" w:type="dxa"/>
          </w:tblCellMar>
        </w:tblPrEx>
        <w:trPr>
          <w:trHeight w:val="353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法律职业资格认定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市司法局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市司法局（受理）</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《中华人民共和国法官法》</w:t>
            </w:r>
            <w:r>
              <w:rPr>
                <w:rFonts w:eastAsia="仿宋_GB2312"/>
                <w:kern w:val="0"/>
                <w:sz w:val="20"/>
                <w:szCs w:val="20"/>
              </w:rPr>
              <w:br w:type="textWrapping"/>
            </w:r>
            <w:r>
              <w:rPr>
                <w:rFonts w:eastAsia="仿宋_GB2312"/>
                <w:kern w:val="0"/>
                <w:sz w:val="20"/>
                <w:szCs w:val="20"/>
              </w:rPr>
              <w:t>《中华人民共和国检察官法》</w:t>
            </w:r>
            <w:r>
              <w:rPr>
                <w:rFonts w:eastAsia="仿宋_GB2312"/>
                <w:kern w:val="0"/>
                <w:sz w:val="20"/>
                <w:szCs w:val="20"/>
              </w:rPr>
              <w:br w:type="textWrapping"/>
            </w:r>
            <w:r>
              <w:rPr>
                <w:rFonts w:eastAsia="仿宋_GB2312"/>
                <w:kern w:val="0"/>
                <w:sz w:val="20"/>
                <w:szCs w:val="20"/>
              </w:rPr>
              <w:t>《中华人民共和国公务员法》</w:t>
            </w:r>
            <w:r>
              <w:rPr>
                <w:rFonts w:eastAsia="仿宋_GB2312"/>
                <w:kern w:val="0"/>
                <w:sz w:val="20"/>
                <w:szCs w:val="20"/>
              </w:rPr>
              <w:br w:type="textWrapping"/>
            </w:r>
            <w:r>
              <w:rPr>
                <w:rFonts w:eastAsia="仿宋_GB2312"/>
                <w:kern w:val="0"/>
                <w:sz w:val="20"/>
                <w:szCs w:val="20"/>
              </w:rPr>
              <w:t>《中华人民共和国律师法》</w:t>
            </w:r>
            <w:r>
              <w:rPr>
                <w:rFonts w:eastAsia="仿宋_GB2312"/>
                <w:kern w:val="0"/>
                <w:sz w:val="20"/>
                <w:szCs w:val="20"/>
              </w:rPr>
              <w:br w:type="textWrapping"/>
            </w:r>
            <w:r>
              <w:rPr>
                <w:rFonts w:eastAsia="仿宋_GB2312"/>
                <w:kern w:val="0"/>
                <w:sz w:val="20"/>
                <w:szCs w:val="20"/>
              </w:rPr>
              <w:t>《中华人民共和国公证法》</w:t>
            </w:r>
            <w:r>
              <w:rPr>
                <w:rFonts w:eastAsia="仿宋_GB2312"/>
                <w:kern w:val="0"/>
                <w:sz w:val="20"/>
                <w:szCs w:val="20"/>
              </w:rPr>
              <w:br w:type="textWrapping"/>
            </w:r>
            <w:r>
              <w:rPr>
                <w:rFonts w:eastAsia="仿宋_GB2312"/>
                <w:kern w:val="0"/>
                <w:sz w:val="20"/>
                <w:szCs w:val="20"/>
              </w:rPr>
              <w:t>《中华人民共和国仲裁法》</w:t>
            </w:r>
            <w:r>
              <w:rPr>
                <w:rFonts w:eastAsia="仿宋_GB2312"/>
                <w:kern w:val="0"/>
                <w:sz w:val="20"/>
                <w:szCs w:val="20"/>
              </w:rPr>
              <w:br w:type="textWrapping"/>
            </w:r>
            <w:r>
              <w:rPr>
                <w:rFonts w:eastAsia="仿宋_GB2312"/>
                <w:kern w:val="0"/>
                <w:sz w:val="20"/>
                <w:szCs w:val="20"/>
              </w:rPr>
              <w:t>《中华人民共和国行政复议法》</w:t>
            </w:r>
            <w:r>
              <w:rPr>
                <w:rFonts w:eastAsia="仿宋_GB2312"/>
                <w:kern w:val="0"/>
                <w:sz w:val="20"/>
                <w:szCs w:val="20"/>
              </w:rPr>
              <w:br w:type="textWrapping"/>
            </w:r>
            <w:r>
              <w:rPr>
                <w:rFonts w:eastAsia="仿宋_GB2312"/>
                <w:kern w:val="0"/>
                <w:sz w:val="20"/>
                <w:szCs w:val="20"/>
              </w:rPr>
              <w:t>《中华人民共和国行政处罚法》</w:t>
            </w:r>
            <w:r>
              <w:rPr>
                <w:rFonts w:eastAsia="仿宋_GB2312"/>
                <w:kern w:val="0"/>
                <w:sz w:val="20"/>
                <w:szCs w:val="20"/>
              </w:rPr>
              <w:br w:type="textWrapping"/>
            </w:r>
            <w:r>
              <w:rPr>
                <w:rFonts w:eastAsia="仿宋_GB2312"/>
                <w:kern w:val="0"/>
                <w:sz w:val="20"/>
                <w:szCs w:val="20"/>
              </w:rPr>
              <w:t>《国家统一法律职业资格考试实施办法》（司法部令140号）</w:t>
            </w:r>
            <w:r>
              <w:rPr>
                <w:rFonts w:eastAsia="仿宋_GB2312"/>
                <w:kern w:val="0"/>
                <w:sz w:val="20"/>
                <w:szCs w:val="20"/>
              </w:rPr>
              <w:br w:type="textWrapping"/>
            </w:r>
            <w:r>
              <w:rPr>
                <w:rFonts w:eastAsia="仿宋_GB2312"/>
                <w:kern w:val="0"/>
                <w:sz w:val="20"/>
                <w:szCs w:val="20"/>
              </w:rPr>
              <w:t>《法律职业资格管理办法》（司法部令第146号）</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155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律师执业、变更执业机构许可（含香港、澳门永久性居民中的中国居民及台湾居民申请律师执业、变更执业机构）</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市司法局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市司法局（初审）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《中华人民共和国律师法》</w:t>
            </w:r>
          </w:p>
        </w:tc>
      </w:tr>
      <w:tr>
        <w:tblPrEx>
          <w:tblCellMar>
            <w:top w:w="0" w:type="dxa"/>
            <w:left w:w="108" w:type="dxa"/>
            <w:bottom w:w="0" w:type="dxa"/>
            <w:right w:w="108" w:type="dxa"/>
          </w:tblCellMar>
        </w:tblPrEx>
        <w:trPr>
          <w:trHeight w:val="98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基层法律服务工作者执业核准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省司法厅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《国务院关于第六批取消和调整行政审批项目的决定》（国发〔2012〕52号）</w:t>
            </w:r>
          </w:p>
        </w:tc>
      </w:tr>
      <w:tr>
        <w:tblPrEx>
          <w:tblCellMar>
            <w:top w:w="0" w:type="dxa"/>
            <w:left w:w="108" w:type="dxa"/>
            <w:bottom w:w="0" w:type="dxa"/>
            <w:right w:w="108" w:type="dxa"/>
          </w:tblCellMar>
        </w:tblPrEx>
        <w:trPr>
          <w:trHeight w:val="69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律师事务所及分所设立、变更、注销许可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省司法厅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市司法局（初审）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《中华人民共和国律师法》</w:t>
            </w:r>
          </w:p>
        </w:tc>
      </w:tr>
      <w:tr>
        <w:tblPrEx>
          <w:tblCellMar>
            <w:top w:w="0" w:type="dxa"/>
            <w:left w:w="108" w:type="dxa"/>
            <w:bottom w:w="0" w:type="dxa"/>
            <w:right w:w="108" w:type="dxa"/>
          </w:tblCellMar>
        </w:tblPrEx>
        <w:trPr>
          <w:trHeight w:val="69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中介机构从事代理记账业务审批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省财政厅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市财政局，县行政审批服务管理局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《中华人民共和国会计法》</w:t>
            </w:r>
          </w:p>
        </w:tc>
      </w:tr>
      <w:tr>
        <w:tblPrEx>
          <w:tblCellMar>
            <w:top w:w="0" w:type="dxa"/>
            <w:left w:w="108" w:type="dxa"/>
            <w:bottom w:w="0" w:type="dxa"/>
            <w:right w:w="108" w:type="dxa"/>
          </w:tblCellMar>
        </w:tblPrEx>
        <w:trPr>
          <w:trHeight w:val="6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职业培训学校筹设审批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省人社厅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《中华人民共和国民办教育促进法》</w:t>
            </w:r>
            <w:r>
              <w:rPr>
                <w:rFonts w:eastAsia="仿宋_GB2312"/>
                <w:kern w:val="0"/>
                <w:sz w:val="20"/>
                <w:szCs w:val="20"/>
              </w:rPr>
              <w:br w:type="textWrapping"/>
            </w:r>
            <w:r>
              <w:rPr>
                <w:rFonts w:eastAsia="仿宋_GB2312"/>
                <w:kern w:val="0"/>
                <w:sz w:val="20"/>
                <w:szCs w:val="20"/>
              </w:rPr>
              <w:t>《中华人民共和国中外合作办学条例》</w:t>
            </w:r>
          </w:p>
        </w:tc>
      </w:tr>
      <w:tr>
        <w:tblPrEx>
          <w:tblCellMar>
            <w:top w:w="0" w:type="dxa"/>
            <w:left w:w="108" w:type="dxa"/>
            <w:bottom w:w="0" w:type="dxa"/>
            <w:right w:w="108" w:type="dxa"/>
          </w:tblCellMar>
        </w:tblPrEx>
        <w:trPr>
          <w:trHeight w:val="6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职业培训学校办学许可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省人社厅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《中华人民共和国民办教育促进法》</w:t>
            </w:r>
            <w:r>
              <w:rPr>
                <w:rFonts w:eastAsia="仿宋_GB2312"/>
                <w:kern w:val="0"/>
                <w:sz w:val="20"/>
                <w:szCs w:val="20"/>
              </w:rPr>
              <w:br w:type="textWrapping"/>
            </w:r>
            <w:r>
              <w:rPr>
                <w:rFonts w:eastAsia="仿宋_GB2312"/>
                <w:kern w:val="0"/>
                <w:sz w:val="20"/>
                <w:szCs w:val="20"/>
              </w:rPr>
              <w:t>《中华人民共和国中外合作办学条例》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人力资源服务许可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省人社厅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《中华人民共和国就业促进法》</w:t>
            </w:r>
            <w:r>
              <w:rPr>
                <w:rFonts w:eastAsia="仿宋_GB2312"/>
                <w:kern w:val="0"/>
                <w:sz w:val="20"/>
                <w:szCs w:val="20"/>
              </w:rPr>
              <w:br w:type="textWrapping"/>
            </w:r>
            <w:r>
              <w:rPr>
                <w:rFonts w:eastAsia="仿宋_GB2312"/>
                <w:kern w:val="0"/>
                <w:sz w:val="20"/>
                <w:szCs w:val="20"/>
              </w:rPr>
              <w:t>《人力资源市场暂行条例》</w:t>
            </w:r>
          </w:p>
        </w:tc>
      </w:tr>
      <w:tr>
        <w:tblPrEx>
          <w:tblCellMar>
            <w:top w:w="0" w:type="dxa"/>
            <w:left w:w="108" w:type="dxa"/>
            <w:bottom w:w="0" w:type="dxa"/>
            <w:right w:w="108" w:type="dxa"/>
          </w:tblCellMar>
        </w:tblPrEx>
        <w:trPr>
          <w:trHeight w:val="96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劳务派遣经营许可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省人社厅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《中华人民共和国劳动合同法》</w:t>
            </w:r>
            <w:r>
              <w:rPr>
                <w:rFonts w:eastAsia="仿宋_GB2312"/>
                <w:kern w:val="0"/>
                <w:sz w:val="20"/>
                <w:szCs w:val="20"/>
              </w:rPr>
              <w:br w:type="textWrapping"/>
            </w:r>
            <w:r>
              <w:rPr>
                <w:rFonts w:eastAsia="仿宋_GB2312"/>
                <w:kern w:val="0"/>
                <w:sz w:val="20"/>
                <w:szCs w:val="20"/>
              </w:rPr>
              <w:t>《劳务派遣行政许可实施办法》（人力资源和社会保障部令第19号）</w:t>
            </w:r>
          </w:p>
        </w:tc>
      </w:tr>
      <w:tr>
        <w:tblPrEx>
          <w:tblCellMar>
            <w:top w:w="0" w:type="dxa"/>
            <w:left w:w="108" w:type="dxa"/>
            <w:bottom w:w="0" w:type="dxa"/>
            <w:right w:w="108" w:type="dxa"/>
          </w:tblCellMar>
        </w:tblPrEx>
        <w:trPr>
          <w:trHeight w:val="154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外国人来华工作许可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省人社厅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《中华人民共和国出境入境管理法》</w:t>
            </w:r>
            <w:r>
              <w:rPr>
                <w:rFonts w:eastAsia="仿宋_GB2312"/>
                <w:kern w:val="0"/>
                <w:sz w:val="20"/>
                <w:szCs w:val="20"/>
              </w:rPr>
              <w:br w:type="textWrapping"/>
            </w:r>
            <w:r>
              <w:rPr>
                <w:rFonts w:eastAsia="仿宋_GB2312"/>
                <w:kern w:val="0"/>
                <w:sz w:val="20"/>
                <w:szCs w:val="20"/>
              </w:rPr>
              <w:t>《国家外国专家局关于印发外国人来华工作许可服务指南（暂行）的通知》（外专发〔2017〕36号）</w:t>
            </w:r>
            <w:r>
              <w:rPr>
                <w:rFonts w:eastAsia="仿宋_GB2312"/>
                <w:kern w:val="0"/>
                <w:sz w:val="20"/>
                <w:szCs w:val="20"/>
              </w:rPr>
              <w:br w:type="textWrapping"/>
            </w:r>
            <w:r>
              <w:rPr>
                <w:rFonts w:eastAsia="仿宋_GB2312"/>
                <w:kern w:val="0"/>
                <w:sz w:val="20"/>
                <w:szCs w:val="20"/>
              </w:rPr>
              <w:t>《中央编办关于外国人来华工作许可职责分工的通知》（中央编办发〔2018〕97号）</w:t>
            </w:r>
          </w:p>
        </w:tc>
      </w:tr>
      <w:tr>
        <w:tblPrEx>
          <w:tblCellMar>
            <w:top w:w="0" w:type="dxa"/>
            <w:left w:w="108" w:type="dxa"/>
            <w:bottom w:w="0" w:type="dxa"/>
            <w:right w:w="108" w:type="dxa"/>
          </w:tblCellMar>
        </w:tblPrEx>
        <w:trPr>
          <w:trHeight w:val="98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企业实行不定时工作制和综合计算工时工作制审批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省人社厅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市行政审批服务管理局，县级人社部门或审批服务管理部门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《中华人民共和国劳动法》</w:t>
            </w:r>
            <w:r>
              <w:rPr>
                <w:rFonts w:eastAsia="仿宋_GB2312"/>
                <w:kern w:val="0"/>
                <w:sz w:val="20"/>
                <w:szCs w:val="20"/>
              </w:rPr>
              <w:br w:type="textWrapping"/>
            </w:r>
            <w:r>
              <w:rPr>
                <w:rFonts w:eastAsia="仿宋_GB2312"/>
                <w:kern w:val="0"/>
                <w:sz w:val="20"/>
                <w:szCs w:val="20"/>
              </w:rPr>
              <w:t>《关于企业实行不定时工作制和综合计算工时工作制的审批办法》（劳部发〔1994〕503号）</w:t>
            </w:r>
          </w:p>
        </w:tc>
      </w:tr>
      <w:tr>
        <w:tblPrEx>
          <w:tblCellMar>
            <w:top w:w="0" w:type="dxa"/>
            <w:left w:w="108" w:type="dxa"/>
            <w:bottom w:w="0" w:type="dxa"/>
            <w:right w:w="108" w:type="dxa"/>
          </w:tblCellMar>
        </w:tblPrEx>
        <w:trPr>
          <w:trHeight w:val="97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开采矿产资源审批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市规划和自然资源局，县级自然资源部门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《中华人民共和国矿产资源法》</w:t>
            </w:r>
            <w:r>
              <w:rPr>
                <w:rFonts w:eastAsia="仿宋_GB2312"/>
                <w:kern w:val="0"/>
                <w:sz w:val="20"/>
                <w:szCs w:val="20"/>
              </w:rPr>
              <w:br w:type="textWrapping"/>
            </w:r>
            <w:r>
              <w:rPr>
                <w:rFonts w:eastAsia="仿宋_GB2312"/>
                <w:kern w:val="0"/>
                <w:sz w:val="20"/>
                <w:szCs w:val="20"/>
              </w:rPr>
              <w:t>《中华人民共和国矿产资源法实施细则》</w:t>
            </w:r>
            <w:r>
              <w:rPr>
                <w:rFonts w:eastAsia="仿宋_GB2312"/>
                <w:kern w:val="0"/>
                <w:sz w:val="20"/>
                <w:szCs w:val="20"/>
              </w:rPr>
              <w:br w:type="textWrapping"/>
            </w:r>
            <w:r>
              <w:rPr>
                <w:rFonts w:eastAsia="仿宋_GB2312"/>
                <w:kern w:val="0"/>
                <w:sz w:val="20"/>
                <w:szCs w:val="20"/>
              </w:rPr>
              <w:t>《矿产资源开采登记管理办法》</w:t>
            </w:r>
          </w:p>
        </w:tc>
      </w:tr>
      <w:tr>
        <w:tblPrEx>
          <w:tblCellMar>
            <w:top w:w="0" w:type="dxa"/>
            <w:left w:w="108" w:type="dxa"/>
            <w:bottom w:w="0" w:type="dxa"/>
            <w:right w:w="108" w:type="dxa"/>
          </w:tblCellMar>
        </w:tblPrEx>
        <w:trPr>
          <w:trHeight w:val="55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地图审核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《地图管理条例》</w:t>
            </w:r>
          </w:p>
        </w:tc>
      </w:tr>
      <w:tr>
        <w:tblPrEx>
          <w:tblCellMar>
            <w:top w:w="0" w:type="dxa"/>
            <w:left w:w="108" w:type="dxa"/>
            <w:bottom w:w="0" w:type="dxa"/>
            <w:right w:w="108" w:type="dxa"/>
          </w:tblCellMar>
        </w:tblPrEx>
        <w:trPr>
          <w:trHeight w:val="98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法人或者其他组织需要利用属于国家秘密的基础测绘成果审批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市规划和自然资源局，县级自然资源部门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《中华人民共和国测绘成果管理条例》</w:t>
            </w:r>
            <w:r>
              <w:rPr>
                <w:rFonts w:eastAsia="仿宋_GB2312"/>
                <w:kern w:val="0"/>
                <w:sz w:val="20"/>
                <w:szCs w:val="20"/>
              </w:rPr>
              <w:br w:type="textWrapping"/>
            </w:r>
            <w:r>
              <w:rPr>
                <w:rFonts w:eastAsia="仿宋_GB2312"/>
                <w:kern w:val="0"/>
                <w:sz w:val="20"/>
                <w:szCs w:val="20"/>
              </w:rPr>
              <w:t>《国家测绘局关于印发〈基础测绘成果提供使用管理暂行办法〉的通知》（国测法字〔2006〕13号）</w:t>
            </w:r>
          </w:p>
        </w:tc>
      </w:tr>
      <w:tr>
        <w:tblPrEx>
          <w:tblCellMar>
            <w:top w:w="0" w:type="dxa"/>
            <w:left w:w="108" w:type="dxa"/>
            <w:bottom w:w="0" w:type="dxa"/>
            <w:right w:w="108" w:type="dxa"/>
          </w:tblCellMar>
        </w:tblPrEx>
        <w:trPr>
          <w:trHeight w:val="125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建设项目用地预审与选址意见书核发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市市行政审批服务管理局，县级自然资源部门或审批服务管理部门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《中华人民共和国城乡规划法》</w:t>
            </w:r>
            <w:r>
              <w:rPr>
                <w:rFonts w:eastAsia="仿宋_GB2312"/>
                <w:kern w:val="0"/>
                <w:sz w:val="20"/>
                <w:szCs w:val="20"/>
              </w:rPr>
              <w:br w:type="textWrapping"/>
            </w:r>
            <w:r>
              <w:rPr>
                <w:rFonts w:eastAsia="仿宋_GB2312"/>
                <w:kern w:val="0"/>
                <w:sz w:val="20"/>
                <w:szCs w:val="20"/>
              </w:rPr>
              <w:t>《中华人民共和国土地管理法》</w:t>
            </w:r>
            <w:r>
              <w:rPr>
                <w:rFonts w:eastAsia="仿宋_GB2312"/>
                <w:kern w:val="0"/>
                <w:sz w:val="20"/>
                <w:szCs w:val="20"/>
              </w:rPr>
              <w:br w:type="textWrapping"/>
            </w:r>
            <w:r>
              <w:rPr>
                <w:rFonts w:eastAsia="仿宋_GB2312"/>
                <w:kern w:val="0"/>
                <w:sz w:val="20"/>
                <w:szCs w:val="20"/>
              </w:rPr>
              <w:t>《中华人民共和国土地管理法实施条例》</w:t>
            </w:r>
            <w:r>
              <w:rPr>
                <w:rFonts w:eastAsia="仿宋_GB2312"/>
                <w:kern w:val="0"/>
                <w:sz w:val="20"/>
                <w:szCs w:val="20"/>
              </w:rPr>
              <w:br w:type="textWrapping"/>
            </w:r>
            <w:r>
              <w:rPr>
                <w:rFonts w:eastAsia="仿宋_GB2312"/>
                <w:kern w:val="0"/>
                <w:sz w:val="20"/>
                <w:szCs w:val="20"/>
              </w:rPr>
              <w:t>《建设项目用地预审管理办法》（国土资源部令第68号）</w:t>
            </w:r>
          </w:p>
        </w:tc>
      </w:tr>
      <w:tr>
        <w:tblPrEx>
          <w:tblCellMar>
            <w:top w:w="0" w:type="dxa"/>
            <w:left w:w="108" w:type="dxa"/>
            <w:bottom w:w="0" w:type="dxa"/>
            <w:right w:w="108" w:type="dxa"/>
          </w:tblCellMar>
        </w:tblPrEx>
        <w:trPr>
          <w:trHeight w:val="85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国有建设用地使用权出让后土地使用权分割转让批准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市规划和自然资源局，县级自然资源部门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《中华人民共和国城镇国有土地使用权出让和转让暂行条例》</w:t>
            </w:r>
          </w:p>
        </w:tc>
      </w:tr>
      <w:tr>
        <w:tblPrEx>
          <w:tblCellMar>
            <w:top w:w="0" w:type="dxa"/>
            <w:left w:w="108" w:type="dxa"/>
            <w:bottom w:w="0" w:type="dxa"/>
            <w:right w:w="108" w:type="dxa"/>
          </w:tblCellMar>
        </w:tblPrEx>
        <w:trPr>
          <w:trHeight w:val="84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乡（镇）村企业使用集体建设用地审批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市政府（市规划和自然资源局承办），县级政府（自然资源部门承办）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《中华人民共和国土地管理法》</w:t>
            </w:r>
          </w:p>
        </w:tc>
      </w:tr>
      <w:tr>
        <w:tblPrEx>
          <w:tblCellMar>
            <w:top w:w="0" w:type="dxa"/>
            <w:left w:w="108" w:type="dxa"/>
            <w:bottom w:w="0" w:type="dxa"/>
            <w:right w:w="108" w:type="dxa"/>
          </w:tblCellMar>
        </w:tblPrEx>
        <w:trPr>
          <w:trHeight w:val="97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乡（镇）村公共设施、公益事业使用集体建设用地审批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市政府（市规划和自然资源局承办），县级政府（自然资源部门承办）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《中华人民共和国土地管理法》</w:t>
            </w:r>
          </w:p>
        </w:tc>
      </w:tr>
      <w:tr>
        <w:tblPrEx>
          <w:tblCellMar>
            <w:top w:w="0" w:type="dxa"/>
            <w:left w:w="108" w:type="dxa"/>
            <w:bottom w:w="0" w:type="dxa"/>
            <w:right w:w="108" w:type="dxa"/>
          </w:tblCellMar>
        </w:tblPrEx>
        <w:trPr>
          <w:trHeight w:val="6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临时用地审批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市规划和自然资源局、县级自然资源部门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《中华人民共和国土地管理法》</w:t>
            </w:r>
          </w:p>
        </w:tc>
      </w:tr>
      <w:tr>
        <w:tblPrEx>
          <w:tblCellMar>
            <w:top w:w="0" w:type="dxa"/>
            <w:left w:w="108" w:type="dxa"/>
            <w:bottom w:w="0" w:type="dxa"/>
            <w:right w:w="108"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建设用地、临时建设用地规划许可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《中华人民共和国城乡规划法》</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开发未确定使用权的国有荒山、荒地、荒滩从事生产审查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市政府（市规划和自然资源局承办），县级政府（自然资源部门承办）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《中华人民共和国土地管理法》</w:t>
            </w:r>
            <w:r>
              <w:rPr>
                <w:rFonts w:eastAsia="仿宋_GB2312"/>
                <w:kern w:val="0"/>
                <w:sz w:val="20"/>
                <w:szCs w:val="20"/>
              </w:rPr>
              <w:br w:type="textWrapping"/>
            </w:r>
            <w:r>
              <w:rPr>
                <w:rFonts w:eastAsia="仿宋_GB2312"/>
                <w:kern w:val="0"/>
                <w:sz w:val="20"/>
                <w:szCs w:val="20"/>
              </w:rPr>
              <w:t>《中华人民共和国土地管理法实施条例》</w:t>
            </w:r>
          </w:p>
        </w:tc>
      </w:tr>
      <w:tr>
        <w:tblPrEx>
          <w:tblCellMar>
            <w:top w:w="0" w:type="dxa"/>
            <w:left w:w="108" w:type="dxa"/>
            <w:bottom w:w="0" w:type="dxa"/>
            <w:right w:w="108" w:type="dxa"/>
          </w:tblCellMar>
        </w:tblPrEx>
        <w:trPr>
          <w:trHeight w:val="84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建设工程、临时建设工程规划许可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市行政审批服务管理局，县行政审批服务管理局，省政府确定的乡镇政府</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《中华人民共和国城乡规划法》</w:t>
            </w:r>
          </w:p>
        </w:tc>
      </w:tr>
      <w:tr>
        <w:tblPrEx>
          <w:tblCellMar>
            <w:top w:w="0" w:type="dxa"/>
            <w:left w:w="108" w:type="dxa"/>
            <w:bottom w:w="0" w:type="dxa"/>
            <w:right w:w="108"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乡村建设规划许可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省自然资源厅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《中华人民共和国城乡规划法》</w:t>
            </w:r>
          </w:p>
        </w:tc>
      </w:tr>
      <w:tr>
        <w:tblPrEx>
          <w:tblCellMar>
            <w:top w:w="0" w:type="dxa"/>
            <w:left w:w="108" w:type="dxa"/>
            <w:bottom w:w="0" w:type="dxa"/>
            <w:right w:w="108" w:type="dxa"/>
          </w:tblCellMar>
        </w:tblPrEx>
        <w:trPr>
          <w:trHeight w:val="225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一般建设项目环境影响评价审批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《中华人民共和国环境保护法》</w:t>
            </w:r>
            <w:r>
              <w:rPr>
                <w:rFonts w:eastAsia="仿宋_GB2312"/>
                <w:kern w:val="0"/>
                <w:sz w:val="20"/>
                <w:szCs w:val="20"/>
              </w:rPr>
              <w:br w:type="textWrapping"/>
            </w:r>
            <w:r>
              <w:rPr>
                <w:rFonts w:eastAsia="仿宋_GB2312"/>
                <w:kern w:val="0"/>
                <w:sz w:val="20"/>
                <w:szCs w:val="20"/>
              </w:rPr>
              <w:t>《中华人民共和国环境影响评价法》</w:t>
            </w:r>
            <w:r>
              <w:rPr>
                <w:rFonts w:eastAsia="仿宋_GB2312"/>
                <w:kern w:val="0"/>
                <w:sz w:val="20"/>
                <w:szCs w:val="20"/>
              </w:rPr>
              <w:br w:type="textWrapping"/>
            </w:r>
            <w:r>
              <w:rPr>
                <w:rFonts w:eastAsia="仿宋_GB2312"/>
                <w:kern w:val="0"/>
                <w:sz w:val="20"/>
                <w:szCs w:val="20"/>
              </w:rPr>
              <w:t>《中华人民共和国水污染防治法》</w:t>
            </w:r>
            <w:r>
              <w:rPr>
                <w:rFonts w:eastAsia="仿宋_GB2312"/>
                <w:kern w:val="0"/>
                <w:sz w:val="20"/>
                <w:szCs w:val="20"/>
              </w:rPr>
              <w:br w:type="textWrapping"/>
            </w:r>
            <w:r>
              <w:rPr>
                <w:rFonts w:eastAsia="仿宋_GB2312"/>
                <w:kern w:val="0"/>
                <w:sz w:val="20"/>
                <w:szCs w:val="20"/>
              </w:rPr>
              <w:t>《中华人民共和国大气污染防治法》</w:t>
            </w:r>
            <w:r>
              <w:rPr>
                <w:rFonts w:eastAsia="仿宋_GB2312"/>
                <w:kern w:val="0"/>
                <w:sz w:val="20"/>
                <w:szCs w:val="20"/>
              </w:rPr>
              <w:br w:type="textWrapping"/>
            </w:r>
            <w:r>
              <w:rPr>
                <w:rFonts w:eastAsia="仿宋_GB2312"/>
                <w:kern w:val="0"/>
                <w:sz w:val="20"/>
                <w:szCs w:val="20"/>
              </w:rPr>
              <w:t>《中华人民共和国土壤污染防治法》</w:t>
            </w:r>
            <w:r>
              <w:rPr>
                <w:rFonts w:eastAsia="仿宋_GB2312"/>
                <w:kern w:val="0"/>
                <w:sz w:val="20"/>
                <w:szCs w:val="20"/>
              </w:rPr>
              <w:br w:type="textWrapping"/>
            </w:r>
            <w:r>
              <w:rPr>
                <w:rFonts w:eastAsia="仿宋_GB2312"/>
                <w:kern w:val="0"/>
                <w:sz w:val="20"/>
                <w:szCs w:val="20"/>
              </w:rPr>
              <w:t>《中华人民共和国固体废物污染环境防治法》</w:t>
            </w:r>
            <w:r>
              <w:rPr>
                <w:rFonts w:eastAsia="仿宋_GB2312"/>
                <w:kern w:val="0"/>
                <w:sz w:val="20"/>
                <w:szCs w:val="20"/>
              </w:rPr>
              <w:br w:type="textWrapping"/>
            </w:r>
            <w:r>
              <w:rPr>
                <w:rFonts w:eastAsia="仿宋_GB2312"/>
                <w:kern w:val="0"/>
                <w:sz w:val="20"/>
                <w:szCs w:val="20"/>
              </w:rPr>
              <w:t>《中华人民共和国环境噪声污染防治法》</w:t>
            </w:r>
            <w:r>
              <w:rPr>
                <w:rFonts w:eastAsia="仿宋_GB2312"/>
                <w:kern w:val="0"/>
                <w:sz w:val="20"/>
                <w:szCs w:val="20"/>
              </w:rPr>
              <w:br w:type="textWrapping"/>
            </w:r>
            <w:r>
              <w:rPr>
                <w:rFonts w:eastAsia="仿宋_GB2312"/>
                <w:kern w:val="0"/>
                <w:sz w:val="20"/>
                <w:szCs w:val="20"/>
              </w:rPr>
              <w:t>《建设项目环境保护管理条例》</w:t>
            </w:r>
          </w:p>
        </w:tc>
      </w:tr>
      <w:tr>
        <w:tblPrEx>
          <w:tblCellMar>
            <w:top w:w="0" w:type="dxa"/>
            <w:left w:w="108" w:type="dxa"/>
            <w:bottom w:w="0" w:type="dxa"/>
            <w:right w:w="108" w:type="dxa"/>
          </w:tblCellMar>
        </w:tblPrEx>
        <w:trPr>
          <w:trHeight w:val="11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核与辐射类建设项目环境影响评价审批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市行政审批服务管理局，县级审批服务管理部门或生态环境部门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《中华人民共和国环境保护法》</w:t>
            </w:r>
            <w:r>
              <w:rPr>
                <w:rFonts w:eastAsia="仿宋_GB2312"/>
                <w:kern w:val="0"/>
                <w:sz w:val="20"/>
                <w:szCs w:val="20"/>
              </w:rPr>
              <w:br w:type="textWrapping"/>
            </w:r>
            <w:r>
              <w:rPr>
                <w:rFonts w:eastAsia="仿宋_GB2312"/>
                <w:kern w:val="0"/>
                <w:sz w:val="20"/>
                <w:szCs w:val="20"/>
              </w:rPr>
              <w:t>《中华人民共和国环境影响评价法》</w:t>
            </w:r>
            <w:r>
              <w:rPr>
                <w:rFonts w:eastAsia="仿宋_GB2312"/>
                <w:kern w:val="0"/>
                <w:sz w:val="20"/>
                <w:szCs w:val="20"/>
              </w:rPr>
              <w:br w:type="textWrapping"/>
            </w:r>
            <w:r>
              <w:rPr>
                <w:rFonts w:eastAsia="仿宋_GB2312"/>
                <w:kern w:val="0"/>
                <w:sz w:val="20"/>
                <w:szCs w:val="20"/>
              </w:rPr>
              <w:t>《中华人民共和国放射性污染防治法》</w:t>
            </w:r>
            <w:r>
              <w:rPr>
                <w:rFonts w:eastAsia="仿宋_GB2312"/>
                <w:kern w:val="0"/>
                <w:sz w:val="20"/>
                <w:szCs w:val="20"/>
              </w:rPr>
              <w:br w:type="textWrapping"/>
            </w:r>
            <w:r>
              <w:rPr>
                <w:rFonts w:eastAsia="仿宋_GB2312"/>
                <w:kern w:val="0"/>
                <w:sz w:val="20"/>
                <w:szCs w:val="20"/>
              </w:rPr>
              <w:t>《中华人民共和国核安全法》</w:t>
            </w:r>
          </w:p>
        </w:tc>
      </w:tr>
      <w:tr>
        <w:tblPrEx>
          <w:tblCellMar>
            <w:top w:w="0" w:type="dxa"/>
            <w:left w:w="108" w:type="dxa"/>
            <w:bottom w:w="0" w:type="dxa"/>
            <w:right w:w="108" w:type="dxa"/>
          </w:tblCellMar>
        </w:tblPrEx>
        <w:trPr>
          <w:trHeight w:val="170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排污许可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《中华人民共和国环境保护法》</w:t>
            </w:r>
            <w:r>
              <w:rPr>
                <w:rFonts w:eastAsia="仿宋_GB2312"/>
                <w:kern w:val="0"/>
                <w:sz w:val="20"/>
                <w:szCs w:val="20"/>
              </w:rPr>
              <w:br w:type="textWrapping"/>
            </w:r>
            <w:r>
              <w:rPr>
                <w:rFonts w:eastAsia="仿宋_GB2312"/>
                <w:kern w:val="0"/>
                <w:sz w:val="20"/>
                <w:szCs w:val="20"/>
              </w:rPr>
              <w:t>《中华人民共和国水污染防治法》</w:t>
            </w:r>
            <w:r>
              <w:rPr>
                <w:rFonts w:eastAsia="仿宋_GB2312"/>
                <w:kern w:val="0"/>
                <w:sz w:val="20"/>
                <w:szCs w:val="20"/>
              </w:rPr>
              <w:br w:type="textWrapping"/>
            </w:r>
            <w:r>
              <w:rPr>
                <w:rFonts w:eastAsia="仿宋_GB2312"/>
                <w:kern w:val="0"/>
                <w:sz w:val="20"/>
                <w:szCs w:val="20"/>
              </w:rPr>
              <w:t>《中华人民共和国大气污染防治法》</w:t>
            </w:r>
            <w:r>
              <w:rPr>
                <w:rFonts w:eastAsia="仿宋_GB2312"/>
                <w:kern w:val="0"/>
                <w:sz w:val="20"/>
                <w:szCs w:val="20"/>
              </w:rPr>
              <w:br w:type="textWrapping"/>
            </w:r>
            <w:r>
              <w:rPr>
                <w:rFonts w:eastAsia="仿宋_GB2312"/>
                <w:kern w:val="0"/>
                <w:sz w:val="20"/>
                <w:szCs w:val="20"/>
              </w:rPr>
              <w:t>《中华人民共和国固体废物污染环境防治法》</w:t>
            </w:r>
            <w:r>
              <w:rPr>
                <w:rFonts w:eastAsia="仿宋_GB2312"/>
                <w:kern w:val="0"/>
                <w:sz w:val="20"/>
                <w:szCs w:val="20"/>
              </w:rPr>
              <w:br w:type="textWrapping"/>
            </w:r>
            <w:r>
              <w:rPr>
                <w:rFonts w:eastAsia="仿宋_GB2312"/>
                <w:kern w:val="0"/>
                <w:sz w:val="20"/>
                <w:szCs w:val="20"/>
              </w:rPr>
              <w:t>《中华人民共和国土壤污染防治法》</w:t>
            </w:r>
            <w:r>
              <w:rPr>
                <w:rFonts w:eastAsia="仿宋_GB2312"/>
                <w:kern w:val="0"/>
                <w:sz w:val="20"/>
                <w:szCs w:val="20"/>
              </w:rPr>
              <w:br w:type="textWrapping"/>
            </w:r>
            <w:r>
              <w:rPr>
                <w:rFonts w:eastAsia="仿宋_GB2312"/>
                <w:kern w:val="0"/>
                <w:sz w:val="20"/>
                <w:szCs w:val="20"/>
              </w:rPr>
              <w:t>《排污许可管理条例》</w:t>
            </w:r>
          </w:p>
        </w:tc>
      </w:tr>
      <w:tr>
        <w:tblPrEx>
          <w:tblCellMar>
            <w:top w:w="0" w:type="dxa"/>
            <w:left w:w="108" w:type="dxa"/>
            <w:bottom w:w="0" w:type="dxa"/>
            <w:right w:w="108" w:type="dxa"/>
          </w:tblCellMar>
        </w:tblPrEx>
        <w:trPr>
          <w:trHeight w:val="169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江河、湖泊新建、改建或者扩大排污口审批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市生态环境局，县级生态环境部门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《中华人民共和国水法》</w:t>
            </w:r>
            <w:r>
              <w:rPr>
                <w:rFonts w:eastAsia="仿宋_GB2312"/>
                <w:kern w:val="0"/>
                <w:sz w:val="20"/>
                <w:szCs w:val="20"/>
              </w:rPr>
              <w:br w:type="textWrapping"/>
            </w:r>
            <w:r>
              <w:rPr>
                <w:rFonts w:eastAsia="仿宋_GB2312"/>
                <w:kern w:val="0"/>
                <w:sz w:val="20"/>
                <w:szCs w:val="20"/>
              </w:rPr>
              <w:t>《中华人民共和国水污染防治法》</w:t>
            </w:r>
            <w:r>
              <w:rPr>
                <w:rFonts w:eastAsia="仿宋_GB2312"/>
                <w:kern w:val="0"/>
                <w:sz w:val="20"/>
                <w:szCs w:val="20"/>
              </w:rPr>
              <w:br w:type="textWrapping"/>
            </w:r>
            <w:r>
              <w:rPr>
                <w:rFonts w:eastAsia="仿宋_GB2312"/>
                <w:kern w:val="0"/>
                <w:sz w:val="20"/>
                <w:szCs w:val="20"/>
              </w:rPr>
              <w:t>《中华人民共和国长江保护法》</w:t>
            </w:r>
            <w:r>
              <w:rPr>
                <w:rFonts w:eastAsia="仿宋_GB2312"/>
                <w:kern w:val="0"/>
                <w:sz w:val="20"/>
                <w:szCs w:val="20"/>
              </w:rPr>
              <w:br w:type="textWrapping"/>
            </w:r>
            <w:r>
              <w:rPr>
                <w:rFonts w:eastAsia="仿宋_GB2312"/>
                <w:kern w:val="0"/>
                <w:sz w:val="20"/>
                <w:szCs w:val="20"/>
              </w:rPr>
              <w:t>《深化党和国家机构改革方案》</w:t>
            </w:r>
            <w:r>
              <w:rPr>
                <w:rFonts w:eastAsia="仿宋_GB2312"/>
                <w:kern w:val="0"/>
                <w:sz w:val="20"/>
                <w:szCs w:val="20"/>
              </w:rPr>
              <w:br w:type="textWrapping"/>
            </w:r>
            <w:r>
              <w:rPr>
                <w:rFonts w:eastAsia="仿宋_GB2312"/>
                <w:kern w:val="0"/>
                <w:sz w:val="20"/>
                <w:szCs w:val="20"/>
              </w:rPr>
              <w:t>《中央编办关于生态环境部流域生态环境监管机构设置有关事项的通知》（中编办发〔2019〕26号）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危险废物经营许可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市行政审批服务管理局，县级审批服务管理部门或生态环境局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《中华人民共和国固体废物污染环境防治法》</w:t>
            </w:r>
            <w:r>
              <w:rPr>
                <w:rFonts w:eastAsia="仿宋_GB2312"/>
                <w:kern w:val="0"/>
                <w:sz w:val="20"/>
                <w:szCs w:val="20"/>
              </w:rPr>
              <w:br w:type="textWrapping"/>
            </w:r>
            <w:r>
              <w:rPr>
                <w:rFonts w:eastAsia="仿宋_GB2312"/>
                <w:kern w:val="0"/>
                <w:sz w:val="20"/>
                <w:szCs w:val="20"/>
              </w:rPr>
              <w:t>《危险废物经营许可证管理办法》</w:t>
            </w:r>
          </w:p>
        </w:tc>
      </w:tr>
      <w:tr>
        <w:tblPrEx>
          <w:tblCellMar>
            <w:top w:w="0" w:type="dxa"/>
            <w:left w:w="108" w:type="dxa"/>
            <w:bottom w:w="0" w:type="dxa"/>
            <w:right w:w="108"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延长危险废物贮存期限审批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《中华人民共和国固体废物污染环境防治法》</w:t>
            </w:r>
          </w:p>
        </w:tc>
      </w:tr>
      <w:tr>
        <w:tblPrEx>
          <w:tblCellMar>
            <w:top w:w="0" w:type="dxa"/>
            <w:left w:w="108" w:type="dxa"/>
            <w:bottom w:w="0" w:type="dxa"/>
            <w:right w:w="108"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废弃电器电子产品处理企业资格审批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《废弃电器电子产品回收处理管理条例》</w:t>
            </w:r>
          </w:p>
        </w:tc>
      </w:tr>
      <w:tr>
        <w:tblPrEx>
          <w:tblCellMar>
            <w:top w:w="0" w:type="dxa"/>
            <w:left w:w="108" w:type="dxa"/>
            <w:bottom w:w="0" w:type="dxa"/>
            <w:right w:w="108" w:type="dxa"/>
          </w:tblCellMar>
        </w:tblPrEx>
        <w:trPr>
          <w:trHeight w:val="6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放射性核素排放许可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市生态环境局，县级生态环境部门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《中华人民共和国放射性污染防治法》</w:t>
            </w:r>
          </w:p>
        </w:tc>
      </w:tr>
      <w:tr>
        <w:tblPrEx>
          <w:tblCellMar>
            <w:top w:w="0" w:type="dxa"/>
            <w:left w:w="108" w:type="dxa"/>
            <w:bottom w:w="0" w:type="dxa"/>
            <w:right w:w="108" w:type="dxa"/>
          </w:tblCellMar>
        </w:tblPrEx>
        <w:trPr>
          <w:trHeight w:val="125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辐射安全许可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省生态环境厅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《中华人民共和国放射性污染防治法》</w:t>
            </w:r>
            <w:r>
              <w:rPr>
                <w:rFonts w:eastAsia="仿宋_GB2312"/>
                <w:kern w:val="0"/>
                <w:sz w:val="20"/>
                <w:szCs w:val="20"/>
              </w:rPr>
              <w:br w:type="textWrapping"/>
            </w:r>
            <w:r>
              <w:rPr>
                <w:rFonts w:eastAsia="仿宋_GB2312"/>
                <w:kern w:val="0"/>
                <w:sz w:val="20"/>
                <w:szCs w:val="20"/>
              </w:rPr>
              <w:t>《放射性同位素与射线装置安全和防护条例》</w:t>
            </w:r>
            <w:r>
              <w:rPr>
                <w:rFonts w:eastAsia="仿宋_GB2312"/>
                <w:kern w:val="0"/>
                <w:sz w:val="20"/>
                <w:szCs w:val="20"/>
              </w:rPr>
              <w:br w:type="textWrapping"/>
            </w:r>
            <w:r>
              <w:rPr>
                <w:rFonts w:eastAsia="仿宋_GB2312"/>
                <w:kern w:val="0"/>
                <w:sz w:val="20"/>
                <w:szCs w:val="20"/>
              </w:rPr>
              <w:t>《国务院关于深化“证照分离”改革进一步激发市场主体发展活力的通知》（国发〔2021〕7号）</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建筑业企业资质认定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《中华人民共和国建筑法》</w:t>
            </w:r>
            <w:r>
              <w:rPr>
                <w:rFonts w:eastAsia="仿宋_GB2312"/>
                <w:kern w:val="0"/>
                <w:sz w:val="20"/>
                <w:szCs w:val="20"/>
              </w:rPr>
              <w:br w:type="textWrapping"/>
            </w:r>
            <w:r>
              <w:rPr>
                <w:rFonts w:eastAsia="仿宋_GB2312"/>
                <w:kern w:val="0"/>
                <w:sz w:val="20"/>
                <w:szCs w:val="20"/>
              </w:rPr>
              <w:t>《建设工程质量管理条例》</w:t>
            </w:r>
            <w:r>
              <w:rPr>
                <w:rFonts w:eastAsia="仿宋_GB2312"/>
                <w:kern w:val="0"/>
                <w:sz w:val="20"/>
                <w:szCs w:val="20"/>
              </w:rPr>
              <w:br w:type="textWrapping"/>
            </w:r>
            <w:r>
              <w:rPr>
                <w:rFonts w:eastAsia="仿宋_GB2312"/>
                <w:kern w:val="0"/>
                <w:sz w:val="20"/>
                <w:szCs w:val="20"/>
              </w:rPr>
              <w:t>《建筑业企业资质管理规定》（住房和城乡建设部令第45号）</w:t>
            </w:r>
          </w:p>
        </w:tc>
      </w:tr>
      <w:tr>
        <w:tblPrEx>
          <w:tblCellMar>
            <w:top w:w="0" w:type="dxa"/>
            <w:left w:w="108" w:type="dxa"/>
            <w:bottom w:w="0" w:type="dxa"/>
            <w:right w:w="108" w:type="dxa"/>
          </w:tblCellMar>
        </w:tblPrEx>
        <w:trPr>
          <w:trHeight w:val="147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建设工程勘察企业资质认定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《中华人民共和国建筑法》</w:t>
            </w:r>
            <w:r>
              <w:rPr>
                <w:rFonts w:eastAsia="仿宋_GB2312"/>
                <w:kern w:val="0"/>
                <w:sz w:val="20"/>
                <w:szCs w:val="20"/>
              </w:rPr>
              <w:br w:type="textWrapping"/>
            </w:r>
            <w:r>
              <w:rPr>
                <w:rFonts w:eastAsia="仿宋_GB2312"/>
                <w:kern w:val="0"/>
                <w:sz w:val="20"/>
                <w:szCs w:val="20"/>
              </w:rPr>
              <w:t>《建设工程勘察设计管理条例》</w:t>
            </w:r>
            <w:r>
              <w:rPr>
                <w:rFonts w:eastAsia="仿宋_GB2312"/>
                <w:kern w:val="0"/>
                <w:sz w:val="20"/>
                <w:szCs w:val="20"/>
              </w:rPr>
              <w:br w:type="textWrapping"/>
            </w:r>
            <w:r>
              <w:rPr>
                <w:rFonts w:eastAsia="仿宋_GB2312"/>
                <w:kern w:val="0"/>
                <w:sz w:val="20"/>
                <w:szCs w:val="20"/>
              </w:rPr>
              <w:t>《建设工程质量管理条例》</w:t>
            </w:r>
            <w:r>
              <w:rPr>
                <w:rFonts w:eastAsia="仿宋_GB2312"/>
                <w:kern w:val="0"/>
                <w:sz w:val="20"/>
                <w:szCs w:val="20"/>
              </w:rPr>
              <w:br w:type="textWrapping"/>
            </w:r>
            <w:r>
              <w:rPr>
                <w:rFonts w:eastAsia="仿宋_GB2312"/>
                <w:kern w:val="0"/>
                <w:sz w:val="20"/>
                <w:szCs w:val="20"/>
              </w:rPr>
              <w:t>《建设工程勘察设计资质管理规定》（建设部令第160号，住房和城乡建设部令第24号、第32号、第45号修正）</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建设工程设计企业资质认定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《中华人民共和国建筑法》</w:t>
            </w:r>
            <w:r>
              <w:rPr>
                <w:rFonts w:eastAsia="仿宋_GB2312"/>
                <w:kern w:val="0"/>
                <w:sz w:val="20"/>
                <w:szCs w:val="20"/>
              </w:rPr>
              <w:br w:type="textWrapping"/>
            </w:r>
            <w:r>
              <w:rPr>
                <w:rFonts w:eastAsia="仿宋_GB2312"/>
                <w:kern w:val="0"/>
                <w:sz w:val="20"/>
                <w:szCs w:val="20"/>
              </w:rPr>
              <w:t>《建设工程勘察设计管理条例》</w:t>
            </w:r>
          </w:p>
        </w:tc>
      </w:tr>
      <w:tr>
        <w:tblPrEx>
          <w:tblCellMar>
            <w:top w:w="0" w:type="dxa"/>
            <w:left w:w="108" w:type="dxa"/>
            <w:bottom w:w="0" w:type="dxa"/>
            <w:right w:w="108" w:type="dxa"/>
          </w:tblCellMar>
        </w:tblPrEx>
        <w:trPr>
          <w:trHeight w:val="96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工程监理企业资质认定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《中华人民共和国建筑法》</w:t>
            </w:r>
            <w:r>
              <w:rPr>
                <w:rFonts w:eastAsia="仿宋_GB2312"/>
                <w:kern w:val="0"/>
                <w:sz w:val="20"/>
                <w:szCs w:val="20"/>
              </w:rPr>
              <w:br w:type="textWrapping"/>
            </w:r>
            <w:r>
              <w:rPr>
                <w:rFonts w:eastAsia="仿宋_GB2312"/>
                <w:kern w:val="0"/>
                <w:sz w:val="20"/>
                <w:szCs w:val="20"/>
              </w:rPr>
              <w:t>《建设工程质量管理条例》《工程监理企业资质管理规定》（住房和城乡建设部令第45号）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建筑工程施工许可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《中华人民共和国建筑法》</w:t>
            </w:r>
            <w:r>
              <w:rPr>
                <w:rFonts w:eastAsia="仿宋_GB2312"/>
                <w:kern w:val="0"/>
                <w:sz w:val="20"/>
                <w:szCs w:val="20"/>
              </w:rPr>
              <w:br w:type="textWrapping"/>
            </w:r>
            <w:r>
              <w:rPr>
                <w:rFonts w:eastAsia="仿宋_GB2312"/>
                <w:kern w:val="0"/>
                <w:sz w:val="20"/>
                <w:szCs w:val="20"/>
              </w:rPr>
              <w:t>《建筑工程施工许可管理办法》（住房和城乡建设部令第52号）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商品房预售许可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《中华人民共和国城市房地产管理法》</w:t>
            </w:r>
          </w:p>
        </w:tc>
      </w:tr>
      <w:tr>
        <w:tblPrEx>
          <w:tblCellMar>
            <w:top w:w="0" w:type="dxa"/>
            <w:left w:w="108" w:type="dxa"/>
            <w:bottom w:w="0" w:type="dxa"/>
            <w:right w:w="108" w:type="dxa"/>
          </w:tblCellMar>
        </w:tblPrEx>
        <w:trPr>
          <w:trHeight w:val="71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房地产开发企业资质核定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《城市房地产开发经营管理条例》</w:t>
            </w:r>
            <w:r>
              <w:rPr>
                <w:rFonts w:eastAsia="仿宋_GB2312"/>
                <w:kern w:val="0"/>
                <w:sz w:val="20"/>
                <w:szCs w:val="20"/>
              </w:rPr>
              <w:br w:type="textWrapping"/>
            </w:r>
            <w:r>
              <w:rPr>
                <w:rFonts w:eastAsia="仿宋_GB2312"/>
                <w:kern w:val="0"/>
                <w:sz w:val="20"/>
                <w:szCs w:val="20"/>
              </w:rPr>
              <w:t>《房地产开发企业资质管理规定》（住房和城乡建设部令第45号）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关闭、闲置、拆除城市环境卫生设施许可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《中华人民共和国固体废物污染环境防治法》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拆除环境卫生设施许可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《城市市容和环境卫生管理条例》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从事城市生活垃圾经营性清扫、收集、运输、处理服务审批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6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城市建筑垃圾处置核准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6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城镇污水排入排水管网许可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《城镇排水与污水处理条例》</w:t>
            </w:r>
          </w:p>
        </w:tc>
      </w:tr>
      <w:tr>
        <w:tblPrEx>
          <w:tblCellMar>
            <w:top w:w="0" w:type="dxa"/>
            <w:left w:w="108" w:type="dxa"/>
            <w:bottom w:w="0" w:type="dxa"/>
            <w:right w:w="108" w:type="dxa"/>
          </w:tblCellMar>
        </w:tblPrEx>
        <w:trPr>
          <w:trHeight w:val="6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99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拆除、改动、迁移城市公共供水设施审核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《城市供水条例》</w:t>
            </w:r>
          </w:p>
        </w:tc>
      </w:tr>
      <w:tr>
        <w:tblPrEx>
          <w:tblCellMar>
            <w:top w:w="0" w:type="dxa"/>
            <w:left w:w="108" w:type="dxa"/>
            <w:bottom w:w="0" w:type="dxa"/>
            <w:right w:w="108" w:type="dxa"/>
          </w:tblCellMar>
        </w:tblPrEx>
        <w:trPr>
          <w:trHeight w:val="6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拆除、改动城镇排水与污水处理设施审核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《城镇排水与污水</w:t>
            </w:r>
            <w:r>
              <w:rPr>
                <w:rFonts w:hint="eastAsia" w:eastAsia="仿宋_GB2312"/>
                <w:kern w:val="0"/>
                <w:sz w:val="20"/>
                <w:szCs w:val="20"/>
                <w:lang w:eastAsia="zh-CN"/>
              </w:rPr>
              <w:t>处理</w:t>
            </w:r>
            <w:bookmarkStart w:id="0" w:name="_GoBack"/>
            <w:bookmarkEnd w:id="0"/>
            <w:r>
              <w:rPr>
                <w:rFonts w:eastAsia="仿宋_GB2312"/>
                <w:kern w:val="0"/>
                <w:sz w:val="20"/>
                <w:szCs w:val="20"/>
              </w:rPr>
              <w:t>条例》</w:t>
            </w:r>
          </w:p>
        </w:tc>
      </w:tr>
      <w:tr>
        <w:tblPrEx>
          <w:tblCellMar>
            <w:top w:w="0" w:type="dxa"/>
            <w:left w:w="108" w:type="dxa"/>
            <w:bottom w:w="0" w:type="dxa"/>
            <w:right w:w="108" w:type="dxa"/>
          </w:tblCellMar>
        </w:tblPrEx>
        <w:trPr>
          <w:trHeight w:val="105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由于工程施工、设备维修等原因确需停止供水的审批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《城市供水条例》</w:t>
            </w:r>
          </w:p>
        </w:tc>
      </w:tr>
      <w:tr>
        <w:tblPrEx>
          <w:tblCellMar>
            <w:top w:w="0" w:type="dxa"/>
            <w:left w:w="108" w:type="dxa"/>
            <w:bottom w:w="0" w:type="dxa"/>
            <w:right w:w="108" w:type="dxa"/>
          </w:tblCellMar>
        </w:tblPrEx>
        <w:trPr>
          <w:trHeight w:val="7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燃气经营许可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《城镇燃气管理条例》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燃气经营者改动市政燃气设施审批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市行政审批服务管理局，县级燃气管理部门或审批服务管理部门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《城镇燃气管理条例》</w:t>
            </w:r>
            <w:r>
              <w:rPr>
                <w:rFonts w:eastAsia="仿宋_GB2312"/>
                <w:kern w:val="0"/>
                <w:sz w:val="20"/>
                <w:szCs w:val="20"/>
              </w:rPr>
              <w:br w:type="textWrapping"/>
            </w:r>
            <w:r>
              <w:rPr>
                <w:rFonts w:eastAsia="仿宋_GB2312"/>
                <w:kern w:val="0"/>
                <w:sz w:val="20"/>
                <w:szCs w:val="20"/>
              </w:rPr>
              <w:t>《国务院关于第六批取消和调整行政审批项目的决定》（国发〔2012〕52号）</w:t>
            </w:r>
          </w:p>
        </w:tc>
      </w:tr>
      <w:tr>
        <w:tblPrEx>
          <w:tblCellMar>
            <w:top w:w="0" w:type="dxa"/>
            <w:left w:w="108" w:type="dxa"/>
            <w:bottom w:w="0" w:type="dxa"/>
            <w:right w:w="108" w:type="dxa"/>
          </w:tblCellMar>
        </w:tblPrEx>
        <w:trPr>
          <w:trHeight w:val="100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市政设施建设类审批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《城市道路管理条例》</w:t>
            </w:r>
          </w:p>
        </w:tc>
      </w:tr>
      <w:tr>
        <w:tblPrEx>
          <w:tblCellMar>
            <w:top w:w="0" w:type="dxa"/>
            <w:left w:w="108" w:type="dxa"/>
            <w:bottom w:w="0" w:type="dxa"/>
            <w:right w:w="108" w:type="dxa"/>
          </w:tblCellMar>
        </w:tblPrEx>
        <w:trPr>
          <w:trHeight w:val="73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特殊车辆在城市道路上行驶审批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《城市道路管理条例》</w:t>
            </w:r>
          </w:p>
        </w:tc>
      </w:tr>
      <w:tr>
        <w:tblPrEx>
          <w:tblCellMar>
            <w:top w:w="0" w:type="dxa"/>
            <w:left w:w="108" w:type="dxa"/>
            <w:bottom w:w="0" w:type="dxa"/>
            <w:right w:w="108" w:type="dxa"/>
          </w:tblCellMar>
        </w:tblPrEx>
        <w:trPr>
          <w:trHeight w:val="73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改变绿化规划、绿化用地的使用性质审批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3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工程建设涉及城市绿地、树木审批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《城市绿化条例》</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历史建筑实施原址保护审批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r>
              <w:rPr>
                <w:rStyle w:val="135"/>
                <w:rFonts w:hint="default" w:ascii="Times New Roman" w:hAnsi="Times New Roman" w:eastAsia="仿宋_GB2312" w:cs="Times New Roman"/>
              </w:rPr>
              <w:t>会同市文化和旅游局，</w:t>
            </w:r>
            <w:r>
              <w:rPr>
                <w:rStyle w:val="136"/>
                <w:rFonts w:hint="default" w:ascii="Times New Roman" w:hAnsi="Times New Roman" w:eastAsia="仿宋_GB2312" w:cs="Times New Roman"/>
              </w:rPr>
              <w:t>县级历史文化保护传承（历史文化名城、街区，历史建筑保护等）主管部门（住建、城管、自然资源等）会同文物主管部门或县级审批服务管理部门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《历史文化名城名镇名村保护条例》</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109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历史文化街区、名镇、名村核心保护范围内拆除历史建筑以外的建筑物、构筑物或者其他设施审批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市住房和城乡建设局会同市文化和旅游局，县级历史文化保护传承（历史文化名城、街区，历史建筑保护等）主管部门（住建、城管、自然资源等）会同文物主管部门或县级审批服务管理部门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《历史文化名城名镇名村保护条例》</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历史建筑外部修缮装饰、添加设施以及改变历史建筑的结构或者使用性质审批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市住房和城乡建设局会同市文化和旅游局，县级历史文化保护传承（历史文化名城、街区，历史建筑保护等）主管部门（住建、城管、自然资源等）会同文物主管部门或县级审批服务管理部门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《历史文化名城名镇名村保护条例》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建设工程消防设计审查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《中华人民共和国消防法》</w:t>
            </w:r>
            <w:r>
              <w:rPr>
                <w:rFonts w:eastAsia="仿宋_GB2312"/>
                <w:kern w:val="0"/>
                <w:sz w:val="20"/>
                <w:szCs w:val="20"/>
              </w:rPr>
              <w:br w:type="textWrapping"/>
            </w:r>
            <w:r>
              <w:rPr>
                <w:rFonts w:eastAsia="仿宋_GB2312"/>
                <w:kern w:val="0"/>
                <w:sz w:val="20"/>
                <w:szCs w:val="20"/>
              </w:rPr>
              <w:t>《建设工程消防设计审查验收管理暂行规定》（住房和城乡建设部令第51号）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建设工程消防验收</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《中华人民共和国消防法》</w:t>
            </w:r>
            <w:r>
              <w:rPr>
                <w:rFonts w:eastAsia="仿宋_GB2312"/>
                <w:kern w:val="0"/>
                <w:sz w:val="20"/>
                <w:szCs w:val="20"/>
              </w:rPr>
              <w:br w:type="textWrapping"/>
            </w:r>
            <w:r>
              <w:rPr>
                <w:rFonts w:eastAsia="仿宋_GB2312"/>
                <w:kern w:val="0"/>
                <w:sz w:val="20"/>
                <w:szCs w:val="20"/>
              </w:rPr>
              <w:t>《建设工程消防设计审查验收管理暂行规定》（住房和城乡建设部令第51号）</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在村庄、集镇规划区内公共场所修建临时建筑等设施审批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乡级政府</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《村庄和集镇规划建设管理条例》</w:t>
            </w:r>
          </w:p>
        </w:tc>
      </w:tr>
      <w:tr>
        <w:tblPrEx>
          <w:tblCellMar>
            <w:top w:w="0" w:type="dxa"/>
            <w:left w:w="108" w:type="dxa"/>
            <w:bottom w:w="0" w:type="dxa"/>
            <w:right w:w="108" w:type="dxa"/>
          </w:tblCellMar>
        </w:tblPrEx>
        <w:trPr>
          <w:trHeight w:val="98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设置大型户外广告及在城市建筑物、设施上悬挂、张贴宣传品审批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《城市市容和环境卫生管理条例》</w:t>
            </w:r>
          </w:p>
        </w:tc>
      </w:tr>
      <w:tr>
        <w:tblPrEx>
          <w:tblCellMar>
            <w:top w:w="0" w:type="dxa"/>
            <w:left w:w="108" w:type="dxa"/>
            <w:bottom w:w="0" w:type="dxa"/>
            <w:right w:w="108" w:type="dxa"/>
          </w:tblCellMar>
        </w:tblPrEx>
        <w:trPr>
          <w:trHeight w:val="70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临时性建筑物搭建、堆放物料、占道施工审批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《城市市容和环境卫生管理条例》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建筑起重机械使用登记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省住建厅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《中华人民共和国特种设备安全法》</w:t>
            </w:r>
            <w:r>
              <w:rPr>
                <w:rFonts w:eastAsia="仿宋_GB2312"/>
                <w:kern w:val="0"/>
                <w:sz w:val="20"/>
                <w:szCs w:val="20"/>
              </w:rPr>
              <w:br w:type="textWrapping"/>
            </w:r>
            <w:r>
              <w:rPr>
                <w:rFonts w:eastAsia="仿宋_GB2312"/>
                <w:kern w:val="0"/>
                <w:sz w:val="20"/>
                <w:szCs w:val="20"/>
              </w:rPr>
              <w:t>《建设工程安全生产管理条例》</w:t>
            </w:r>
          </w:p>
        </w:tc>
      </w:tr>
      <w:tr>
        <w:tblPrEx>
          <w:tblCellMar>
            <w:top w:w="0" w:type="dxa"/>
            <w:left w:w="108" w:type="dxa"/>
            <w:bottom w:w="0" w:type="dxa"/>
            <w:right w:w="108" w:type="dxa"/>
          </w:tblCellMar>
        </w:tblPrEx>
        <w:trPr>
          <w:trHeight w:val="144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公路建设项目设计文件审批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《中华人民共和国公路法》</w:t>
            </w:r>
            <w:r>
              <w:rPr>
                <w:rFonts w:eastAsia="仿宋_GB2312"/>
                <w:kern w:val="0"/>
                <w:sz w:val="20"/>
                <w:szCs w:val="20"/>
              </w:rPr>
              <w:br w:type="textWrapping"/>
            </w:r>
            <w:r>
              <w:rPr>
                <w:rFonts w:eastAsia="仿宋_GB2312"/>
                <w:kern w:val="0"/>
                <w:sz w:val="20"/>
                <w:szCs w:val="20"/>
              </w:rPr>
              <w:t>《建设工程质量管理条例》</w:t>
            </w:r>
            <w:r>
              <w:rPr>
                <w:rFonts w:eastAsia="仿宋_GB2312"/>
                <w:kern w:val="0"/>
                <w:sz w:val="20"/>
                <w:szCs w:val="20"/>
              </w:rPr>
              <w:br w:type="textWrapping"/>
            </w:r>
            <w:r>
              <w:rPr>
                <w:rFonts w:eastAsia="仿宋_GB2312"/>
                <w:kern w:val="0"/>
                <w:sz w:val="20"/>
                <w:szCs w:val="20"/>
              </w:rPr>
              <w:t>《建设工程勘察设计管理条例》</w:t>
            </w:r>
            <w:r>
              <w:rPr>
                <w:rFonts w:eastAsia="仿宋_GB2312"/>
                <w:kern w:val="0"/>
                <w:sz w:val="20"/>
                <w:szCs w:val="20"/>
              </w:rPr>
              <w:br w:type="textWrapping"/>
            </w:r>
            <w:r>
              <w:rPr>
                <w:rFonts w:eastAsia="仿宋_GB2312"/>
                <w:kern w:val="0"/>
                <w:sz w:val="20"/>
                <w:szCs w:val="20"/>
              </w:rPr>
              <w:t>《农村公路建设管理办法》（交通运输部令2018年第4号）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公路建设项目施工许可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《中华人民共和国公路法》</w:t>
            </w:r>
            <w:r>
              <w:rPr>
                <w:rFonts w:eastAsia="仿宋_GB2312"/>
                <w:kern w:val="0"/>
                <w:sz w:val="20"/>
                <w:szCs w:val="20"/>
              </w:rPr>
              <w:br w:type="textWrapping"/>
            </w:r>
            <w:r>
              <w:rPr>
                <w:rFonts w:eastAsia="仿宋_GB2312"/>
                <w:kern w:val="0"/>
                <w:sz w:val="20"/>
                <w:szCs w:val="20"/>
              </w:rPr>
              <w:t>《公路建设市场管理办法》（交通运输部令2015年第11号）</w:t>
            </w:r>
          </w:p>
        </w:tc>
      </w:tr>
      <w:tr>
        <w:tblPrEx>
          <w:tblCellMar>
            <w:top w:w="0" w:type="dxa"/>
            <w:left w:w="108" w:type="dxa"/>
            <w:bottom w:w="0" w:type="dxa"/>
            <w:right w:w="108" w:type="dxa"/>
          </w:tblCellMar>
        </w:tblPrEx>
        <w:trPr>
          <w:trHeight w:val="155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119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公路建设项目竣工验收</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《中华人民共和国公路法》</w:t>
            </w:r>
            <w:r>
              <w:rPr>
                <w:rFonts w:eastAsia="仿宋_GB2312"/>
                <w:kern w:val="0"/>
                <w:sz w:val="20"/>
                <w:szCs w:val="20"/>
              </w:rPr>
              <w:br w:type="textWrapping"/>
            </w:r>
            <w:r>
              <w:rPr>
                <w:rFonts w:eastAsia="仿宋_GB2312"/>
                <w:kern w:val="0"/>
                <w:sz w:val="20"/>
                <w:szCs w:val="20"/>
              </w:rPr>
              <w:t>《收费公路管理条例》</w:t>
            </w:r>
            <w:r>
              <w:rPr>
                <w:rFonts w:eastAsia="仿宋_GB2312"/>
                <w:kern w:val="0"/>
                <w:sz w:val="20"/>
                <w:szCs w:val="20"/>
              </w:rPr>
              <w:br w:type="textWrapping"/>
            </w:r>
            <w:r>
              <w:rPr>
                <w:rFonts w:eastAsia="仿宋_GB2312"/>
                <w:kern w:val="0"/>
                <w:sz w:val="20"/>
                <w:szCs w:val="20"/>
              </w:rPr>
              <w:t>《公路工程竣（交）工验收办法》（交通部令2004年第3号）</w:t>
            </w:r>
            <w:r>
              <w:rPr>
                <w:rFonts w:eastAsia="仿宋_GB2312"/>
                <w:kern w:val="0"/>
                <w:sz w:val="20"/>
                <w:szCs w:val="20"/>
              </w:rPr>
              <w:br w:type="textWrapping"/>
            </w:r>
            <w:r>
              <w:rPr>
                <w:rFonts w:eastAsia="仿宋_GB2312"/>
                <w:kern w:val="0"/>
                <w:sz w:val="20"/>
                <w:szCs w:val="20"/>
              </w:rPr>
              <w:t>《农村公路建设管理办法》（交通运输部令2018年第4号）</w:t>
            </w:r>
          </w:p>
        </w:tc>
      </w:tr>
      <w:tr>
        <w:tblPrEx>
          <w:tblCellMar>
            <w:top w:w="0" w:type="dxa"/>
            <w:left w:w="108" w:type="dxa"/>
            <w:bottom w:w="0" w:type="dxa"/>
            <w:right w:w="108" w:type="dxa"/>
          </w:tblCellMar>
        </w:tblPrEx>
        <w:trPr>
          <w:trHeight w:val="95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公路超限运输许可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市行政审批服务管理局，县级交通运输部门或审批服务管理部门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《中华人民共和国公路法》</w:t>
            </w:r>
            <w:r>
              <w:rPr>
                <w:rFonts w:eastAsia="仿宋_GB2312"/>
                <w:kern w:val="0"/>
                <w:sz w:val="20"/>
                <w:szCs w:val="20"/>
              </w:rPr>
              <w:br w:type="textWrapping"/>
            </w:r>
            <w:r>
              <w:rPr>
                <w:rFonts w:eastAsia="仿宋_GB2312"/>
                <w:kern w:val="0"/>
                <w:sz w:val="20"/>
                <w:szCs w:val="20"/>
              </w:rPr>
              <w:t>《公路安全保护条例》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涉路施工许可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市行政审批服务管理局，县级交通运输部门或审批服务管理部门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《中华人民共和国公路法》</w:t>
            </w:r>
            <w:r>
              <w:rPr>
                <w:rFonts w:eastAsia="仿宋_GB2312"/>
                <w:kern w:val="0"/>
                <w:sz w:val="20"/>
                <w:szCs w:val="20"/>
              </w:rPr>
              <w:br w:type="textWrapping"/>
            </w:r>
            <w:r>
              <w:rPr>
                <w:rFonts w:eastAsia="仿宋_GB2312"/>
                <w:kern w:val="0"/>
                <w:sz w:val="20"/>
                <w:szCs w:val="20"/>
              </w:rPr>
              <w:t>《公路安全保护条例》</w:t>
            </w:r>
            <w:r>
              <w:rPr>
                <w:rFonts w:eastAsia="仿宋_GB2312"/>
                <w:kern w:val="0"/>
                <w:sz w:val="20"/>
                <w:szCs w:val="20"/>
              </w:rPr>
              <w:br w:type="textWrapping"/>
            </w:r>
            <w:r>
              <w:rPr>
                <w:rFonts w:eastAsia="仿宋_GB2312"/>
                <w:kern w:val="0"/>
                <w:sz w:val="20"/>
                <w:szCs w:val="20"/>
              </w:rPr>
              <w:t>《路政管理规定》（交通运输部令2016年第81号）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更新采伐护路林审批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《中华人民共和国公路法》</w:t>
            </w:r>
            <w:r>
              <w:rPr>
                <w:rFonts w:eastAsia="仿宋_GB2312"/>
                <w:kern w:val="0"/>
                <w:sz w:val="20"/>
                <w:szCs w:val="20"/>
              </w:rPr>
              <w:br w:type="textWrapping"/>
            </w:r>
            <w:r>
              <w:rPr>
                <w:rFonts w:eastAsia="仿宋_GB2312"/>
                <w:kern w:val="0"/>
                <w:sz w:val="20"/>
                <w:szCs w:val="20"/>
              </w:rPr>
              <w:t>《公路安全保护条例》</w:t>
            </w:r>
            <w:r>
              <w:rPr>
                <w:rFonts w:eastAsia="仿宋_GB2312"/>
                <w:kern w:val="0"/>
                <w:sz w:val="20"/>
                <w:szCs w:val="20"/>
              </w:rPr>
              <w:br w:type="textWrapping"/>
            </w:r>
            <w:r>
              <w:rPr>
                <w:rFonts w:eastAsia="仿宋_GB2312"/>
                <w:kern w:val="0"/>
                <w:sz w:val="20"/>
                <w:szCs w:val="20"/>
              </w:rPr>
              <w:t>《路政管理规定》（交通运输部令2016年第81号）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道路旅客运输经营许可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《中华人民共和国道路运输条例》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道路旅客运输站经营许可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《中华人民共和国道路运输条例》</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道路货物运输经营许可（除使用4500千克及以下普通货运车辆从事普通货运经营外）</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《中华人民共和国道路运输条例》</w:t>
            </w:r>
            <w:r>
              <w:rPr>
                <w:rFonts w:eastAsia="仿宋_GB2312"/>
                <w:kern w:val="0"/>
                <w:sz w:val="20"/>
                <w:szCs w:val="20"/>
              </w:rPr>
              <w:br w:type="textWrapping"/>
            </w:r>
            <w:r>
              <w:rPr>
                <w:rFonts w:eastAsia="仿宋_GB2312"/>
                <w:kern w:val="0"/>
                <w:sz w:val="20"/>
                <w:szCs w:val="20"/>
              </w:rPr>
              <w:t>《道路货物运输及站场管理规定》（交通运输部令2019年第17号）</w:t>
            </w:r>
          </w:p>
        </w:tc>
      </w:tr>
      <w:tr>
        <w:tblPrEx>
          <w:tblCellMar>
            <w:top w:w="0" w:type="dxa"/>
            <w:left w:w="108" w:type="dxa"/>
            <w:bottom w:w="0" w:type="dxa"/>
            <w:right w:w="108" w:type="dxa"/>
          </w:tblCellMar>
        </w:tblPrEx>
        <w:trPr>
          <w:trHeight w:val="80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危险货物道路运输经营许可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《中华人民共和国道路运输条例》</w:t>
            </w:r>
            <w:r>
              <w:rPr>
                <w:rFonts w:eastAsia="仿宋_GB2312"/>
                <w:kern w:val="0"/>
                <w:sz w:val="20"/>
                <w:szCs w:val="20"/>
              </w:rPr>
              <w:br w:type="textWrapping"/>
            </w:r>
            <w:r>
              <w:rPr>
                <w:rFonts w:eastAsia="仿宋_GB2312"/>
                <w:kern w:val="0"/>
                <w:sz w:val="20"/>
                <w:szCs w:val="20"/>
              </w:rPr>
              <w:t>《危险化学品安全管理条例》</w:t>
            </w:r>
            <w:r>
              <w:rPr>
                <w:rFonts w:eastAsia="仿宋_GB2312"/>
                <w:kern w:val="0"/>
                <w:sz w:val="20"/>
                <w:szCs w:val="20"/>
              </w:rPr>
              <w:br w:type="textWrapping"/>
            </w:r>
            <w:r>
              <w:rPr>
                <w:rFonts w:eastAsia="仿宋_GB2312"/>
                <w:kern w:val="0"/>
                <w:sz w:val="20"/>
                <w:szCs w:val="20"/>
              </w:rPr>
              <w:t>《放射性物品运输安全管理条例》</w:t>
            </w:r>
          </w:p>
        </w:tc>
      </w:tr>
      <w:tr>
        <w:tblPrEx>
          <w:tblCellMar>
            <w:top w:w="0" w:type="dxa"/>
            <w:left w:w="108" w:type="dxa"/>
            <w:bottom w:w="0" w:type="dxa"/>
            <w:right w:w="108" w:type="dxa"/>
          </w:tblCellMar>
        </w:tblPrEx>
        <w:trPr>
          <w:trHeight w:val="155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出租汽车经营许可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《巡游出租汽车经营服务管理规定》（交通运输部令2021年第16号）</w:t>
            </w:r>
            <w:r>
              <w:rPr>
                <w:rFonts w:eastAsia="仿宋_GB2312"/>
                <w:kern w:val="0"/>
                <w:sz w:val="20"/>
                <w:szCs w:val="20"/>
              </w:rPr>
              <w:br w:type="textWrapping"/>
            </w:r>
            <w:r>
              <w:rPr>
                <w:rFonts w:eastAsia="仿宋_GB2312"/>
                <w:kern w:val="0"/>
                <w:sz w:val="20"/>
                <w:szCs w:val="20"/>
              </w:rPr>
              <w:t>《网络预约出租汽车经营服务管理暂行办法》（交通运输部、工业和信息化部、公安部、商务部、市场监管总局、国家网信办令2019年第46号）</w:t>
            </w:r>
          </w:p>
        </w:tc>
      </w:tr>
      <w:tr>
        <w:tblPrEx>
          <w:tblCellMar>
            <w:top w:w="0" w:type="dxa"/>
            <w:left w:w="108" w:type="dxa"/>
            <w:bottom w:w="0" w:type="dxa"/>
            <w:right w:w="108" w:type="dxa"/>
          </w:tblCellMar>
        </w:tblPrEx>
        <w:trPr>
          <w:trHeight w:val="182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出租汽车车辆运营证核发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市行政审批服务管理局，县级交通运输部门或审批服务管理部门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《巡游出租汽车经营服务管理规定》（交通运输部令2021年第16号）</w:t>
            </w:r>
            <w:r>
              <w:rPr>
                <w:rFonts w:eastAsia="仿宋_GB2312"/>
                <w:kern w:val="0"/>
                <w:sz w:val="20"/>
                <w:szCs w:val="20"/>
              </w:rPr>
              <w:br w:type="textWrapping"/>
            </w:r>
            <w:r>
              <w:rPr>
                <w:rFonts w:eastAsia="仿宋_GB2312"/>
                <w:kern w:val="0"/>
                <w:sz w:val="20"/>
                <w:szCs w:val="20"/>
              </w:rPr>
              <w:t>《网络预约出租汽车经营服务管理暂行办法》（交通运输部、工业和信息化部、公安部、商务部、市场监管总局、国家网信办令2019年第46号）</w:t>
            </w:r>
          </w:p>
        </w:tc>
      </w:tr>
      <w:tr>
        <w:tblPrEx>
          <w:tblCellMar>
            <w:top w:w="0" w:type="dxa"/>
            <w:left w:w="108" w:type="dxa"/>
            <w:bottom w:w="0" w:type="dxa"/>
            <w:right w:w="108" w:type="dxa"/>
          </w:tblCellMar>
        </w:tblPrEx>
        <w:trPr>
          <w:trHeight w:val="154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129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水运建设项目设计文件审批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《中华人民共和国港口法》</w:t>
            </w:r>
            <w:r>
              <w:rPr>
                <w:rFonts w:eastAsia="仿宋_GB2312"/>
                <w:kern w:val="0"/>
                <w:sz w:val="20"/>
                <w:szCs w:val="20"/>
              </w:rPr>
              <w:br w:type="textWrapping"/>
            </w:r>
            <w:r>
              <w:rPr>
                <w:rFonts w:eastAsia="仿宋_GB2312"/>
                <w:kern w:val="0"/>
                <w:sz w:val="20"/>
                <w:szCs w:val="20"/>
              </w:rPr>
              <w:t>《中华人民共和国航道法》</w:t>
            </w:r>
            <w:r>
              <w:rPr>
                <w:rFonts w:eastAsia="仿宋_GB2312"/>
                <w:kern w:val="0"/>
                <w:sz w:val="20"/>
                <w:szCs w:val="20"/>
              </w:rPr>
              <w:br w:type="textWrapping"/>
            </w:r>
            <w:r>
              <w:rPr>
                <w:rFonts w:eastAsia="仿宋_GB2312"/>
                <w:kern w:val="0"/>
                <w:sz w:val="20"/>
                <w:szCs w:val="20"/>
              </w:rPr>
              <w:t>《中华人民共和国航道管理条例》</w:t>
            </w:r>
            <w:r>
              <w:rPr>
                <w:rFonts w:eastAsia="仿宋_GB2312"/>
                <w:kern w:val="0"/>
                <w:sz w:val="20"/>
                <w:szCs w:val="20"/>
              </w:rPr>
              <w:br w:type="textWrapping"/>
            </w:r>
            <w:r>
              <w:rPr>
                <w:rFonts w:eastAsia="仿宋_GB2312"/>
                <w:kern w:val="0"/>
                <w:sz w:val="20"/>
                <w:szCs w:val="20"/>
              </w:rPr>
              <w:t>《建设工程质量管理条例》</w:t>
            </w:r>
            <w:r>
              <w:rPr>
                <w:rFonts w:eastAsia="仿宋_GB2312"/>
                <w:kern w:val="0"/>
                <w:sz w:val="20"/>
                <w:szCs w:val="20"/>
              </w:rPr>
              <w:br w:type="textWrapping"/>
            </w:r>
            <w:r>
              <w:rPr>
                <w:rFonts w:eastAsia="仿宋_GB2312"/>
                <w:kern w:val="0"/>
                <w:sz w:val="20"/>
                <w:szCs w:val="20"/>
              </w:rPr>
              <w:t>《建设工程勘察设计管理条例》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通航建筑物运行方案审批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市交通运输局，县级交通运输部门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《中华人民共和国航道法》</w:t>
            </w:r>
            <w:r>
              <w:rPr>
                <w:rFonts w:eastAsia="仿宋_GB2312"/>
                <w:kern w:val="0"/>
                <w:sz w:val="20"/>
                <w:szCs w:val="20"/>
              </w:rPr>
              <w:br w:type="textWrapping"/>
            </w:r>
            <w:r>
              <w:rPr>
                <w:rFonts w:eastAsia="仿宋_GB2312"/>
                <w:kern w:val="0"/>
                <w:sz w:val="20"/>
                <w:szCs w:val="20"/>
              </w:rPr>
              <w:t>《通航建筑物运行管理办法》（交通运输部令2019年第6号）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航道通航条件影响评价审核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《中华人民共和国航道法》</w:t>
            </w:r>
            <w:r>
              <w:rPr>
                <w:rFonts w:eastAsia="仿宋_GB2312"/>
                <w:kern w:val="0"/>
                <w:sz w:val="20"/>
                <w:szCs w:val="20"/>
              </w:rPr>
              <w:br w:type="textWrapping"/>
            </w:r>
            <w:r>
              <w:rPr>
                <w:rFonts w:eastAsia="仿宋_GB2312"/>
                <w:kern w:val="0"/>
                <w:sz w:val="20"/>
                <w:szCs w:val="20"/>
              </w:rPr>
              <w:t>《航道通航条件影响评价审核管理办法》（交通运输部令2019年第35号）</w:t>
            </w:r>
          </w:p>
        </w:tc>
      </w:tr>
      <w:tr>
        <w:tblPrEx>
          <w:tblCellMar>
            <w:top w:w="0" w:type="dxa"/>
            <w:left w:w="108" w:type="dxa"/>
            <w:bottom w:w="0" w:type="dxa"/>
            <w:right w:w="108" w:type="dxa"/>
          </w:tblCellMar>
        </w:tblPrEx>
        <w:trPr>
          <w:trHeight w:val="20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水运工程建设项目竣工验收</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《中华人民共和国港口法》</w:t>
            </w:r>
            <w:r>
              <w:rPr>
                <w:rFonts w:eastAsia="仿宋_GB2312"/>
                <w:kern w:val="0"/>
                <w:sz w:val="20"/>
                <w:szCs w:val="20"/>
              </w:rPr>
              <w:br w:type="textWrapping"/>
            </w:r>
            <w:r>
              <w:rPr>
                <w:rFonts w:eastAsia="仿宋_GB2312"/>
                <w:kern w:val="0"/>
                <w:sz w:val="20"/>
                <w:szCs w:val="20"/>
              </w:rPr>
              <w:t>《中华人民共和国航道法》</w:t>
            </w:r>
            <w:r>
              <w:rPr>
                <w:rFonts w:eastAsia="仿宋_GB2312"/>
                <w:kern w:val="0"/>
                <w:sz w:val="20"/>
                <w:szCs w:val="20"/>
              </w:rPr>
              <w:br w:type="textWrapping"/>
            </w:r>
            <w:r>
              <w:rPr>
                <w:rFonts w:eastAsia="仿宋_GB2312"/>
                <w:kern w:val="0"/>
                <w:sz w:val="20"/>
                <w:szCs w:val="20"/>
              </w:rPr>
              <w:t>《中华人民共和国航道管理条例》</w:t>
            </w:r>
            <w:r>
              <w:rPr>
                <w:rFonts w:eastAsia="仿宋_GB2312"/>
                <w:kern w:val="0"/>
                <w:sz w:val="20"/>
                <w:szCs w:val="20"/>
              </w:rPr>
              <w:br w:type="textWrapping"/>
            </w:r>
            <w:r>
              <w:rPr>
                <w:rFonts w:eastAsia="仿宋_GB2312"/>
                <w:kern w:val="0"/>
                <w:sz w:val="20"/>
                <w:szCs w:val="20"/>
              </w:rPr>
              <w:t>《港口工程建设管理规定》（交通运输部令2019年第32号）</w:t>
            </w:r>
            <w:r>
              <w:rPr>
                <w:rFonts w:eastAsia="仿宋_GB2312"/>
                <w:kern w:val="0"/>
                <w:sz w:val="20"/>
                <w:szCs w:val="20"/>
              </w:rPr>
              <w:br w:type="textWrapping"/>
            </w:r>
            <w:r>
              <w:rPr>
                <w:rFonts w:eastAsia="仿宋_GB2312"/>
                <w:kern w:val="0"/>
                <w:sz w:val="20"/>
                <w:szCs w:val="20"/>
              </w:rPr>
              <w:t>《航道工程建设管理规定》（交通运输部令2019年第44号）</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国内水路运输经营许可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《国内水路运输管理条例》</w:t>
            </w:r>
            <w:r>
              <w:rPr>
                <w:rFonts w:eastAsia="仿宋_GB2312"/>
                <w:kern w:val="0"/>
                <w:sz w:val="20"/>
                <w:szCs w:val="20"/>
              </w:rPr>
              <w:br w:type="textWrapping"/>
            </w:r>
            <w:r>
              <w:rPr>
                <w:rFonts w:eastAsia="仿宋_GB2312"/>
                <w:kern w:val="0"/>
                <w:sz w:val="20"/>
                <w:szCs w:val="20"/>
              </w:rPr>
              <w:t>《国内水路运输管理规定》（交通运输部令2020年第4号）</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新增国内客船、危险品船运力审批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《国内水路运输管理条例》</w:t>
            </w:r>
            <w:r>
              <w:rPr>
                <w:rFonts w:eastAsia="仿宋_GB2312"/>
                <w:kern w:val="0"/>
                <w:sz w:val="20"/>
                <w:szCs w:val="20"/>
              </w:rPr>
              <w:br w:type="textWrapping"/>
            </w:r>
            <w:r>
              <w:rPr>
                <w:rFonts w:eastAsia="仿宋_GB2312"/>
                <w:kern w:val="0"/>
                <w:sz w:val="20"/>
                <w:szCs w:val="20"/>
              </w:rPr>
              <w:t>《国内水路运输管理规定》（交通运输部令2020年第4号）</w:t>
            </w:r>
          </w:p>
        </w:tc>
      </w:tr>
      <w:tr>
        <w:tblPrEx>
          <w:tblCellMar>
            <w:top w:w="0" w:type="dxa"/>
            <w:left w:w="108" w:type="dxa"/>
            <w:bottom w:w="0" w:type="dxa"/>
            <w:right w:w="108" w:type="dxa"/>
          </w:tblCellMar>
        </w:tblPrEx>
        <w:trPr>
          <w:trHeight w:val="69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内河专用航标设置、撤除、位置移动和其他状况改变审批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《中华人民共和国航标条例》</w:t>
            </w:r>
            <w:r>
              <w:rPr>
                <w:rFonts w:eastAsia="仿宋_GB2312"/>
                <w:kern w:val="0"/>
                <w:sz w:val="20"/>
                <w:szCs w:val="20"/>
              </w:rPr>
              <w:br w:type="textWrapping"/>
            </w:r>
            <w:r>
              <w:rPr>
                <w:rFonts w:eastAsia="仿宋_GB2312"/>
                <w:kern w:val="0"/>
                <w:sz w:val="20"/>
                <w:szCs w:val="20"/>
              </w:rPr>
              <w:t>《中华人民共和国航道管理条例》</w:t>
            </w:r>
          </w:p>
        </w:tc>
      </w:tr>
      <w:tr>
        <w:tblPrEx>
          <w:tblCellMar>
            <w:top w:w="0" w:type="dxa"/>
            <w:left w:w="108" w:type="dxa"/>
            <w:bottom w:w="0" w:type="dxa"/>
            <w:right w:w="108" w:type="dxa"/>
          </w:tblCellMar>
        </w:tblPrEx>
        <w:trPr>
          <w:trHeight w:val="6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海域或者内河通航水域、岸线施工作业许可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《中华人民共和国海上交通安全法》</w:t>
            </w:r>
            <w:r>
              <w:rPr>
                <w:rFonts w:eastAsia="仿宋_GB2312"/>
                <w:kern w:val="0"/>
                <w:sz w:val="20"/>
                <w:szCs w:val="20"/>
              </w:rPr>
              <w:br w:type="textWrapping"/>
            </w:r>
            <w:r>
              <w:rPr>
                <w:rFonts w:eastAsia="仿宋_GB2312"/>
                <w:kern w:val="0"/>
                <w:sz w:val="20"/>
                <w:szCs w:val="20"/>
              </w:rPr>
              <w:t>《中华人民共和国内河交通安全管理条例》</w:t>
            </w:r>
          </w:p>
        </w:tc>
      </w:tr>
      <w:tr>
        <w:tblPrEx>
          <w:tblCellMar>
            <w:top w:w="0" w:type="dxa"/>
            <w:left w:w="108" w:type="dxa"/>
            <w:bottom w:w="0" w:type="dxa"/>
            <w:right w:w="108" w:type="dxa"/>
          </w:tblCellMar>
        </w:tblPrEx>
        <w:trPr>
          <w:trHeight w:val="125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船舶国籍登记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市交通运输局、县级交通运输部门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《中华人民共和国海上交通安全法》</w:t>
            </w:r>
            <w:r>
              <w:rPr>
                <w:rFonts w:eastAsia="仿宋_GB2312"/>
                <w:kern w:val="0"/>
                <w:sz w:val="20"/>
                <w:szCs w:val="20"/>
              </w:rPr>
              <w:br w:type="textWrapping"/>
            </w:r>
            <w:r>
              <w:rPr>
                <w:rFonts w:eastAsia="仿宋_GB2312"/>
                <w:kern w:val="0"/>
                <w:sz w:val="20"/>
                <w:szCs w:val="20"/>
              </w:rPr>
              <w:t>《中华人民共和国船舶登记条例》</w:t>
            </w:r>
            <w:r>
              <w:rPr>
                <w:rFonts w:eastAsia="仿宋_GB2312"/>
                <w:kern w:val="0"/>
                <w:sz w:val="20"/>
                <w:szCs w:val="20"/>
              </w:rPr>
              <w:br w:type="textWrapping"/>
            </w:r>
            <w:r>
              <w:rPr>
                <w:rFonts w:eastAsia="仿宋_GB2312"/>
                <w:kern w:val="0"/>
                <w:sz w:val="20"/>
                <w:szCs w:val="20"/>
              </w:rPr>
              <w:t>《交通运输部办公厅关于全面推行直属海事系统权责清单制度的通知》（交办海〔2018〕19号）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设置或者撤销内河渡口审批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县级政府指定部门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《中华人民共和国内河交通安全管理条例》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139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经营性客运驾驶员从业资格</w:t>
            </w:r>
          </w:p>
          <w:p>
            <w:pPr>
              <w:widowControl/>
              <w:spacing w:line="280" w:lineRule="exact"/>
              <w:jc w:val="left"/>
              <w:textAlignment w:val="center"/>
              <w:rPr>
                <w:rFonts w:eastAsia="仿宋_GB2312"/>
                <w:sz w:val="20"/>
                <w:szCs w:val="20"/>
              </w:rPr>
            </w:pPr>
            <w:r>
              <w:rPr>
                <w:rFonts w:eastAsia="仿宋_GB2312"/>
                <w:kern w:val="0"/>
                <w:sz w:val="20"/>
                <w:szCs w:val="20"/>
              </w:rPr>
              <w:t>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《中华人民共和国道路运输条例》</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经营性货运驾驶员从业资格认定（除使用4500千克及以下普通货运车辆的驾驶人员外）</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《中华人民共和国道路运输条例》</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204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出租汽车驾驶员客运资格证</w:t>
            </w:r>
          </w:p>
          <w:p>
            <w:pPr>
              <w:widowControl/>
              <w:spacing w:line="280" w:lineRule="exact"/>
              <w:jc w:val="left"/>
              <w:textAlignment w:val="center"/>
              <w:rPr>
                <w:rFonts w:eastAsia="仿宋_GB2312"/>
                <w:sz w:val="20"/>
                <w:szCs w:val="20"/>
              </w:rPr>
            </w:pPr>
            <w:r>
              <w:rPr>
                <w:rFonts w:eastAsia="仿宋_GB2312"/>
                <w:kern w:val="0"/>
                <w:sz w:val="20"/>
                <w:szCs w:val="20"/>
              </w:rPr>
              <w:t>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《出租汽车驾驶员从业资格管理规定》（交通运输部令2021年第15号）</w:t>
            </w:r>
            <w:r>
              <w:rPr>
                <w:rFonts w:eastAsia="仿宋_GB2312"/>
                <w:kern w:val="0"/>
                <w:sz w:val="20"/>
                <w:szCs w:val="20"/>
              </w:rPr>
              <w:br w:type="textWrapping"/>
            </w:r>
            <w:r>
              <w:rPr>
                <w:rFonts w:eastAsia="仿宋_GB2312"/>
                <w:kern w:val="0"/>
                <w:sz w:val="20"/>
                <w:szCs w:val="20"/>
              </w:rPr>
              <w:t>《网络预约出租汽车经营服务管理暂行办法》（交通运输部、工业和信息化部、公安部、商务部、市场监管总局、国家网信办令2019年第46号）</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11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危险货物道路运输从业人员</w:t>
            </w:r>
          </w:p>
          <w:p>
            <w:pPr>
              <w:widowControl/>
              <w:spacing w:line="280" w:lineRule="exact"/>
              <w:jc w:val="left"/>
              <w:textAlignment w:val="center"/>
              <w:rPr>
                <w:rFonts w:eastAsia="仿宋_GB2312"/>
                <w:sz w:val="20"/>
                <w:szCs w:val="20"/>
              </w:rPr>
            </w:pPr>
            <w:r>
              <w:rPr>
                <w:rFonts w:eastAsia="仿宋_GB2312"/>
                <w:kern w:val="0"/>
                <w:sz w:val="20"/>
                <w:szCs w:val="20"/>
              </w:rPr>
              <w:t>从业资格认定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《中华人民共和国道路运输条例》</w:t>
            </w:r>
            <w:r>
              <w:rPr>
                <w:rFonts w:eastAsia="仿宋_GB2312"/>
                <w:kern w:val="0"/>
                <w:sz w:val="20"/>
                <w:szCs w:val="20"/>
              </w:rPr>
              <w:br w:type="textWrapping"/>
            </w:r>
            <w:r>
              <w:rPr>
                <w:rFonts w:eastAsia="仿宋_GB2312"/>
                <w:kern w:val="0"/>
                <w:sz w:val="20"/>
                <w:szCs w:val="20"/>
              </w:rPr>
              <w:t>《危险化学品安全管理条例》</w:t>
            </w:r>
            <w:r>
              <w:rPr>
                <w:rFonts w:eastAsia="仿宋_GB2312"/>
                <w:kern w:val="0"/>
                <w:sz w:val="20"/>
                <w:szCs w:val="20"/>
              </w:rPr>
              <w:br w:type="textWrapping"/>
            </w:r>
            <w:r>
              <w:rPr>
                <w:rFonts w:eastAsia="仿宋_GB2312"/>
                <w:kern w:val="0"/>
                <w:sz w:val="20"/>
                <w:szCs w:val="20"/>
              </w:rPr>
              <w:t>《放射性物品运输安全管理条例》</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154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船员适任证书核发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市交通运输局、县级交通运输部门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《中华人民共和国海上交通安全法》</w:t>
            </w:r>
            <w:r>
              <w:rPr>
                <w:rFonts w:eastAsia="仿宋_GB2312"/>
                <w:kern w:val="0"/>
                <w:sz w:val="20"/>
                <w:szCs w:val="20"/>
              </w:rPr>
              <w:br w:type="textWrapping"/>
            </w:r>
            <w:r>
              <w:rPr>
                <w:rFonts w:eastAsia="仿宋_GB2312"/>
                <w:kern w:val="0"/>
                <w:sz w:val="20"/>
                <w:szCs w:val="20"/>
              </w:rPr>
              <w:t>《中华人民共和国船员条例》</w:t>
            </w:r>
            <w:r>
              <w:rPr>
                <w:rFonts w:eastAsia="仿宋_GB2312"/>
                <w:kern w:val="0"/>
                <w:sz w:val="20"/>
                <w:szCs w:val="20"/>
              </w:rPr>
              <w:br w:type="textWrapping"/>
            </w:r>
            <w:r>
              <w:rPr>
                <w:rFonts w:eastAsia="仿宋_GB2312"/>
                <w:kern w:val="0"/>
                <w:sz w:val="20"/>
                <w:szCs w:val="20"/>
              </w:rPr>
              <w:t>《交通运输部办公厅关于全面推行直属海事系统权责清单制度的通知》（交办海〔2018〕19号）</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国防交通工程设施建设项目和有关贯彻国防要求建设项目</w:t>
            </w:r>
          </w:p>
          <w:p>
            <w:pPr>
              <w:widowControl/>
              <w:spacing w:line="280" w:lineRule="exact"/>
              <w:jc w:val="left"/>
              <w:textAlignment w:val="center"/>
              <w:rPr>
                <w:rFonts w:eastAsia="仿宋_GB2312"/>
                <w:sz w:val="20"/>
                <w:szCs w:val="20"/>
              </w:rPr>
            </w:pPr>
            <w:r>
              <w:rPr>
                <w:rFonts w:eastAsia="仿宋_GB2312"/>
                <w:kern w:val="0"/>
                <w:sz w:val="20"/>
                <w:szCs w:val="20"/>
              </w:rPr>
              <w:t>设计审定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市交通运输局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《中华人民共和国国防交通法》</w:t>
            </w:r>
            <w:r>
              <w:rPr>
                <w:rFonts w:eastAsia="仿宋_GB2312"/>
                <w:kern w:val="0"/>
                <w:sz w:val="20"/>
                <w:szCs w:val="20"/>
              </w:rPr>
              <w:br w:type="textWrapping"/>
            </w:r>
            <w:r>
              <w:rPr>
                <w:rFonts w:eastAsia="仿宋_GB2312"/>
                <w:kern w:val="0"/>
                <w:sz w:val="20"/>
                <w:szCs w:val="20"/>
              </w:rPr>
              <w:t>《国防交通条例》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国防交通工程设施建设项目和有关贯彻国防要求建设项目</w:t>
            </w:r>
          </w:p>
          <w:p>
            <w:pPr>
              <w:widowControl/>
              <w:spacing w:line="280" w:lineRule="exact"/>
              <w:jc w:val="left"/>
              <w:textAlignment w:val="center"/>
              <w:rPr>
                <w:rFonts w:eastAsia="仿宋_GB2312"/>
                <w:sz w:val="20"/>
                <w:szCs w:val="20"/>
              </w:rPr>
            </w:pPr>
            <w:r>
              <w:rPr>
                <w:rFonts w:eastAsia="仿宋_GB2312"/>
                <w:kern w:val="0"/>
                <w:sz w:val="20"/>
                <w:szCs w:val="20"/>
              </w:rPr>
              <w:t>竣工验收</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市交通运输局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《中华人民共和国国防交通法》</w:t>
            </w:r>
            <w:r>
              <w:rPr>
                <w:rFonts w:eastAsia="仿宋_GB2312"/>
                <w:kern w:val="0"/>
                <w:sz w:val="20"/>
                <w:szCs w:val="20"/>
              </w:rPr>
              <w:br w:type="textWrapping"/>
            </w:r>
            <w:r>
              <w:rPr>
                <w:rFonts w:eastAsia="仿宋_GB2312"/>
                <w:kern w:val="0"/>
                <w:sz w:val="20"/>
                <w:szCs w:val="20"/>
              </w:rPr>
              <w:t>《国防交通条例》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占用国防交通控制范围土地</w:t>
            </w:r>
          </w:p>
          <w:p>
            <w:pPr>
              <w:widowControl/>
              <w:spacing w:line="280" w:lineRule="exact"/>
              <w:jc w:val="left"/>
              <w:textAlignment w:val="center"/>
              <w:rPr>
                <w:rFonts w:eastAsia="仿宋_GB2312"/>
                <w:sz w:val="20"/>
                <w:szCs w:val="20"/>
              </w:rPr>
            </w:pPr>
            <w:r>
              <w:rPr>
                <w:rFonts w:eastAsia="仿宋_GB2312"/>
                <w:kern w:val="0"/>
                <w:sz w:val="20"/>
                <w:szCs w:val="20"/>
              </w:rPr>
              <w:t>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市交通运输局，县级国防交通主管部门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《中华人民共和国国防交通法》</w:t>
            </w:r>
            <w:r>
              <w:rPr>
                <w:rFonts w:eastAsia="仿宋_GB2312"/>
                <w:kern w:val="0"/>
                <w:sz w:val="20"/>
                <w:szCs w:val="20"/>
              </w:rPr>
              <w:br w:type="textWrapping"/>
            </w:r>
            <w:r>
              <w:rPr>
                <w:rFonts w:eastAsia="仿宋_GB2312"/>
                <w:kern w:val="0"/>
                <w:sz w:val="20"/>
                <w:szCs w:val="20"/>
              </w:rPr>
              <w:t>《国防交通条例》</w:t>
            </w:r>
          </w:p>
        </w:tc>
      </w:tr>
      <w:tr>
        <w:tblPrEx>
          <w:tblCellMar>
            <w:top w:w="0" w:type="dxa"/>
            <w:left w:w="108" w:type="dxa"/>
            <w:bottom w:w="0" w:type="dxa"/>
            <w:right w:w="108" w:type="dxa"/>
          </w:tblCellMar>
        </w:tblPrEx>
        <w:trPr>
          <w:trHeight w:val="98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水利基建项目初步设计文件</w:t>
            </w:r>
          </w:p>
          <w:p>
            <w:pPr>
              <w:widowControl/>
              <w:spacing w:line="280" w:lineRule="exact"/>
              <w:jc w:val="left"/>
              <w:textAlignment w:val="center"/>
              <w:rPr>
                <w:rFonts w:eastAsia="仿宋_GB2312"/>
                <w:sz w:val="20"/>
                <w:szCs w:val="20"/>
              </w:rPr>
            </w:pPr>
            <w:r>
              <w:rPr>
                <w:rFonts w:eastAsia="仿宋_GB2312"/>
                <w:kern w:val="0"/>
                <w:sz w:val="20"/>
                <w:szCs w:val="20"/>
              </w:rPr>
              <w:t>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取水许可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《中华人民共和国水法》</w:t>
            </w:r>
            <w:r>
              <w:rPr>
                <w:rFonts w:eastAsia="仿宋_GB2312"/>
                <w:kern w:val="0"/>
                <w:sz w:val="20"/>
                <w:szCs w:val="20"/>
              </w:rPr>
              <w:br w:type="textWrapping"/>
            </w:r>
            <w:r>
              <w:rPr>
                <w:rFonts w:eastAsia="仿宋_GB2312"/>
                <w:kern w:val="0"/>
                <w:sz w:val="20"/>
                <w:szCs w:val="20"/>
              </w:rPr>
              <w:t>《取水许可和水资源费征收管理条例》</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149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洪水影响评价类审批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《中华人民共和国水法》</w:t>
            </w:r>
            <w:r>
              <w:rPr>
                <w:rFonts w:eastAsia="仿宋_GB2312"/>
                <w:kern w:val="0"/>
                <w:sz w:val="20"/>
                <w:szCs w:val="20"/>
              </w:rPr>
              <w:br w:type="textWrapping"/>
            </w:r>
            <w:r>
              <w:rPr>
                <w:rFonts w:eastAsia="仿宋_GB2312"/>
                <w:kern w:val="0"/>
                <w:sz w:val="20"/>
                <w:szCs w:val="20"/>
              </w:rPr>
              <w:t>《中华人民共和国防洪法》</w:t>
            </w:r>
            <w:r>
              <w:rPr>
                <w:rFonts w:eastAsia="仿宋_GB2312"/>
                <w:kern w:val="0"/>
                <w:sz w:val="20"/>
                <w:szCs w:val="20"/>
              </w:rPr>
              <w:br w:type="textWrapping"/>
            </w:r>
            <w:r>
              <w:rPr>
                <w:rFonts w:eastAsia="仿宋_GB2312"/>
                <w:kern w:val="0"/>
                <w:sz w:val="20"/>
                <w:szCs w:val="20"/>
              </w:rPr>
              <w:t>《中华人民共和国河道管理条例》</w:t>
            </w:r>
            <w:r>
              <w:rPr>
                <w:rFonts w:eastAsia="仿宋_GB2312"/>
                <w:kern w:val="0"/>
                <w:sz w:val="20"/>
                <w:szCs w:val="20"/>
              </w:rPr>
              <w:br w:type="textWrapping"/>
            </w:r>
            <w:r>
              <w:rPr>
                <w:rFonts w:eastAsia="仿宋_GB2312"/>
                <w:kern w:val="0"/>
                <w:sz w:val="20"/>
                <w:szCs w:val="20"/>
              </w:rPr>
              <w:t>《中华人民共和国水文条例》</w:t>
            </w:r>
          </w:p>
        </w:tc>
      </w:tr>
      <w:tr>
        <w:tblPrEx>
          <w:tblCellMar>
            <w:top w:w="0" w:type="dxa"/>
            <w:left w:w="108" w:type="dxa"/>
            <w:bottom w:w="0" w:type="dxa"/>
            <w:right w:w="108" w:type="dxa"/>
          </w:tblCellMar>
        </w:tblPrEx>
        <w:trPr>
          <w:trHeight w:val="60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河道管理范围内特定活动审批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《中华人民共和国河道管理条例》</w:t>
            </w:r>
          </w:p>
        </w:tc>
      </w:tr>
      <w:tr>
        <w:tblPrEx>
          <w:tblCellMar>
            <w:top w:w="0" w:type="dxa"/>
            <w:left w:w="108" w:type="dxa"/>
            <w:bottom w:w="0" w:type="dxa"/>
            <w:right w:w="108" w:type="dxa"/>
          </w:tblCellMar>
        </w:tblPrEx>
        <w:trPr>
          <w:trHeight w:val="117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河道采砂许可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《中华人民共和国水法》</w:t>
            </w:r>
            <w:r>
              <w:rPr>
                <w:rFonts w:eastAsia="仿宋_GB2312"/>
                <w:kern w:val="0"/>
                <w:sz w:val="20"/>
                <w:szCs w:val="20"/>
              </w:rPr>
              <w:br w:type="textWrapping"/>
            </w:r>
            <w:r>
              <w:rPr>
                <w:rFonts w:eastAsia="仿宋_GB2312"/>
                <w:kern w:val="0"/>
                <w:sz w:val="20"/>
                <w:szCs w:val="20"/>
              </w:rPr>
              <w:t>《中华人民共和国长江保护法》</w:t>
            </w:r>
            <w:r>
              <w:rPr>
                <w:rFonts w:eastAsia="仿宋_GB2312"/>
                <w:kern w:val="0"/>
                <w:sz w:val="20"/>
                <w:szCs w:val="20"/>
              </w:rPr>
              <w:br w:type="textWrapping"/>
            </w:r>
            <w:r>
              <w:rPr>
                <w:rFonts w:eastAsia="仿宋_GB2312"/>
                <w:kern w:val="0"/>
                <w:sz w:val="20"/>
                <w:szCs w:val="20"/>
              </w:rPr>
              <w:t>《中华人民共和国河道管理条例》</w:t>
            </w:r>
            <w:r>
              <w:rPr>
                <w:rFonts w:eastAsia="仿宋_GB2312"/>
                <w:kern w:val="0"/>
                <w:sz w:val="20"/>
                <w:szCs w:val="20"/>
              </w:rPr>
              <w:br w:type="textWrapping"/>
            </w:r>
            <w:r>
              <w:rPr>
                <w:rFonts w:eastAsia="仿宋_GB2312"/>
                <w:kern w:val="0"/>
                <w:sz w:val="20"/>
                <w:szCs w:val="20"/>
              </w:rPr>
              <w:t>《长江河道采砂管理条例》</w:t>
            </w:r>
          </w:p>
        </w:tc>
      </w:tr>
      <w:tr>
        <w:tblPrEx>
          <w:tblCellMar>
            <w:top w:w="0" w:type="dxa"/>
            <w:left w:w="108" w:type="dxa"/>
            <w:bottom w:w="0" w:type="dxa"/>
            <w:right w:w="108" w:type="dxa"/>
          </w:tblCellMar>
        </w:tblPrEx>
        <w:trPr>
          <w:trHeight w:val="96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生产建设项目水土保持方案</w:t>
            </w:r>
          </w:p>
          <w:p>
            <w:pPr>
              <w:widowControl/>
              <w:spacing w:line="280" w:lineRule="exact"/>
              <w:jc w:val="left"/>
              <w:textAlignment w:val="center"/>
              <w:rPr>
                <w:rFonts w:eastAsia="仿宋_GB2312"/>
                <w:sz w:val="20"/>
                <w:szCs w:val="20"/>
              </w:rPr>
            </w:pPr>
            <w:r>
              <w:rPr>
                <w:rFonts w:eastAsia="仿宋_GB2312"/>
                <w:kern w:val="0"/>
                <w:sz w:val="20"/>
                <w:szCs w:val="20"/>
              </w:rPr>
              <w:t>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《中华人民共和国水土保持法》</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农村集体经济组织修建水库</w:t>
            </w:r>
          </w:p>
          <w:p>
            <w:pPr>
              <w:widowControl/>
              <w:spacing w:line="280" w:lineRule="exact"/>
              <w:jc w:val="left"/>
              <w:textAlignment w:val="center"/>
              <w:rPr>
                <w:rFonts w:eastAsia="仿宋_GB2312"/>
                <w:sz w:val="20"/>
                <w:szCs w:val="20"/>
              </w:rPr>
            </w:pPr>
            <w:r>
              <w:rPr>
                <w:rFonts w:eastAsia="仿宋_GB2312"/>
                <w:kern w:val="0"/>
                <w:sz w:val="20"/>
                <w:szCs w:val="20"/>
              </w:rPr>
              <w:t>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《中华人民共和国水法》</w:t>
            </w:r>
          </w:p>
        </w:tc>
      </w:tr>
      <w:tr>
        <w:tblPrEx>
          <w:tblCellMar>
            <w:top w:w="0" w:type="dxa"/>
            <w:left w:w="108" w:type="dxa"/>
            <w:bottom w:w="0" w:type="dxa"/>
            <w:right w:w="108" w:type="dxa"/>
          </w:tblCellMar>
        </w:tblPrEx>
        <w:trPr>
          <w:trHeight w:val="70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城市建设填堵水域、废除围堤审批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市、县级政府（审批</w:t>
            </w:r>
            <w:r>
              <w:rPr>
                <w:rFonts w:eastAsia="仿宋_GB2312"/>
                <w:kern w:val="0"/>
                <w:sz w:val="20"/>
                <w:szCs w:val="20"/>
              </w:rPr>
              <w:br w:type="textWrapping"/>
            </w:r>
            <w:r>
              <w:rPr>
                <w:rFonts w:eastAsia="仿宋_GB2312"/>
                <w:kern w:val="0"/>
                <w:sz w:val="20"/>
                <w:szCs w:val="20"/>
              </w:rPr>
              <w:t>服务管理部门承办）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《中华人民共和国防洪法》</w:t>
            </w:r>
          </w:p>
        </w:tc>
      </w:tr>
      <w:tr>
        <w:tblPrEx>
          <w:tblCellMar>
            <w:top w:w="0" w:type="dxa"/>
            <w:left w:w="108" w:type="dxa"/>
            <w:bottom w:w="0" w:type="dxa"/>
            <w:right w:w="108" w:type="dxa"/>
          </w:tblCellMar>
        </w:tblPrEx>
        <w:trPr>
          <w:trHeight w:val="69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占用农业灌溉水源、灌排工程设施审批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6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利用堤顶、戗台兼做公路审批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市水利局、县级水利部门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《中华人民共和国河道管理条例》</w:t>
            </w:r>
          </w:p>
        </w:tc>
      </w:tr>
      <w:tr>
        <w:tblPrEx>
          <w:tblCellMar>
            <w:top w:w="0" w:type="dxa"/>
            <w:left w:w="108" w:type="dxa"/>
            <w:bottom w:w="0" w:type="dxa"/>
            <w:right w:w="108" w:type="dxa"/>
          </w:tblCellMar>
        </w:tblPrEx>
        <w:trPr>
          <w:trHeight w:val="41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坝顶兼做公路审批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市水利局、县级水利部门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《水库大坝安全管理条例》</w:t>
            </w:r>
          </w:p>
        </w:tc>
      </w:tr>
      <w:tr>
        <w:tblPrEx>
          <w:tblCellMar>
            <w:top w:w="0" w:type="dxa"/>
            <w:left w:w="108" w:type="dxa"/>
            <w:bottom w:w="0" w:type="dxa"/>
            <w:right w:w="108" w:type="dxa"/>
          </w:tblCellMar>
        </w:tblPrEx>
        <w:trPr>
          <w:trHeight w:val="6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蓄滞洪区避洪设施建设审批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159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大坝管理和保护范围内修建码头、渔塘许可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《水库大坝安全管理条例》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农药经营许可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《农药管理条例》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兽药经营许可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《兽药管理条例》</w:t>
            </w:r>
          </w:p>
        </w:tc>
      </w:tr>
      <w:tr>
        <w:tblPrEx>
          <w:tblCellMar>
            <w:top w:w="0" w:type="dxa"/>
            <w:left w:w="108" w:type="dxa"/>
            <w:bottom w:w="0" w:type="dxa"/>
            <w:right w:w="108" w:type="dxa"/>
          </w:tblCellMar>
        </w:tblPrEx>
        <w:trPr>
          <w:trHeight w:val="128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农作物种子生产经营许可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《中华人民共和国种子法》</w:t>
            </w:r>
            <w:r>
              <w:rPr>
                <w:rFonts w:eastAsia="仿宋_GB2312"/>
                <w:kern w:val="0"/>
                <w:sz w:val="20"/>
                <w:szCs w:val="20"/>
              </w:rPr>
              <w:br w:type="textWrapping"/>
            </w:r>
            <w:r>
              <w:rPr>
                <w:rFonts w:eastAsia="仿宋_GB2312"/>
                <w:kern w:val="0"/>
                <w:sz w:val="20"/>
                <w:szCs w:val="20"/>
              </w:rPr>
              <w:t>《农业转基因生物安全管理条例》</w:t>
            </w:r>
            <w:r>
              <w:rPr>
                <w:rFonts w:eastAsia="仿宋_GB2312"/>
                <w:kern w:val="0"/>
                <w:sz w:val="20"/>
                <w:szCs w:val="20"/>
              </w:rPr>
              <w:br w:type="textWrapping"/>
            </w:r>
            <w:r>
              <w:rPr>
                <w:rFonts w:eastAsia="仿宋_GB2312"/>
                <w:kern w:val="0"/>
                <w:sz w:val="20"/>
                <w:szCs w:val="20"/>
              </w:rPr>
              <w:t>《转基因棉花种子生产经营许可规定》（农业部公告第2436号）</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食用菌菌种生产经营许可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《中华人民共和国种子法》</w:t>
            </w:r>
            <w:r>
              <w:rPr>
                <w:rFonts w:eastAsia="仿宋_GB2312"/>
                <w:kern w:val="0"/>
                <w:sz w:val="20"/>
                <w:szCs w:val="20"/>
              </w:rPr>
              <w:br w:type="textWrapping"/>
            </w:r>
            <w:r>
              <w:rPr>
                <w:rFonts w:eastAsia="仿宋_GB2312"/>
                <w:kern w:val="0"/>
                <w:sz w:val="20"/>
                <w:szCs w:val="20"/>
              </w:rPr>
              <w:t>《食用菌菌种管理办法》（农业部令2006年第62号）</w:t>
            </w:r>
          </w:p>
        </w:tc>
      </w:tr>
      <w:tr>
        <w:tblPrEx>
          <w:tblCellMar>
            <w:top w:w="0" w:type="dxa"/>
            <w:left w:w="108" w:type="dxa"/>
            <w:bottom w:w="0" w:type="dxa"/>
            <w:right w:w="108" w:type="dxa"/>
          </w:tblCellMar>
        </w:tblPrEx>
        <w:trPr>
          <w:trHeight w:val="65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使用低于国家或地方规定的种用标准的农作物种子审批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市、县级政府（由市、县农业农村局承办）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《中华人民共和国种子法》</w:t>
            </w:r>
          </w:p>
        </w:tc>
      </w:tr>
      <w:tr>
        <w:tblPrEx>
          <w:tblCellMar>
            <w:top w:w="0" w:type="dxa"/>
            <w:left w:w="108" w:type="dxa"/>
            <w:bottom w:w="0" w:type="dxa"/>
            <w:right w:w="108" w:type="dxa"/>
          </w:tblCellMar>
        </w:tblPrEx>
        <w:trPr>
          <w:trHeight w:val="90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种畜禽生产经营许可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《中华人民共和国畜牧法》</w:t>
            </w:r>
            <w:r>
              <w:rPr>
                <w:rFonts w:eastAsia="仿宋_GB2312"/>
                <w:kern w:val="0"/>
                <w:sz w:val="20"/>
                <w:szCs w:val="20"/>
              </w:rPr>
              <w:br w:type="textWrapping"/>
            </w:r>
            <w:r>
              <w:rPr>
                <w:rFonts w:eastAsia="仿宋_GB2312"/>
                <w:kern w:val="0"/>
                <w:sz w:val="20"/>
                <w:szCs w:val="20"/>
              </w:rPr>
              <w:t>《农业转基因生物安全管理条例》</w:t>
            </w:r>
            <w:r>
              <w:rPr>
                <w:rFonts w:eastAsia="仿宋_GB2312"/>
                <w:kern w:val="0"/>
                <w:sz w:val="20"/>
                <w:szCs w:val="20"/>
              </w:rPr>
              <w:br w:type="textWrapping"/>
            </w:r>
            <w:r>
              <w:rPr>
                <w:rFonts w:eastAsia="仿宋_GB2312"/>
                <w:kern w:val="0"/>
                <w:sz w:val="20"/>
                <w:szCs w:val="20"/>
              </w:rPr>
              <w:t>《养蜂管理办法（试行）》（农业部公告第1692号）</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蚕种生产经营许可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市行政审批服务管理局、县行政审批服务管理局（受理）</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《中华人民共和国畜牧法》</w:t>
            </w:r>
            <w:r>
              <w:rPr>
                <w:rFonts w:eastAsia="仿宋_GB2312"/>
                <w:kern w:val="0"/>
                <w:sz w:val="20"/>
                <w:szCs w:val="20"/>
              </w:rPr>
              <w:br w:type="textWrapping"/>
            </w:r>
            <w:r>
              <w:rPr>
                <w:rFonts w:eastAsia="仿宋_GB2312"/>
                <w:kern w:val="0"/>
                <w:sz w:val="20"/>
                <w:szCs w:val="20"/>
              </w:rPr>
              <w:t>《蚕种管理办法》（农业部令2006年第68号）</w:t>
            </w:r>
          </w:p>
        </w:tc>
      </w:tr>
      <w:tr>
        <w:tblPrEx>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农业植物检疫证书核发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《植物检疫条例》</w:t>
            </w:r>
          </w:p>
        </w:tc>
      </w:tr>
      <w:tr>
        <w:tblPrEx>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农业植物产地检疫合格证签发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《植物检疫条例》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169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农业野生植物采集、出售、收购、野外考察审批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（采集国家二级保护野生植物的）由县级农业农村部门受理</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《中华人民共和国野生植物保护条例》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动物及动物产品检疫合格证</w:t>
            </w:r>
          </w:p>
          <w:p>
            <w:pPr>
              <w:widowControl/>
              <w:spacing w:line="280" w:lineRule="exact"/>
              <w:jc w:val="left"/>
              <w:textAlignment w:val="center"/>
              <w:rPr>
                <w:rFonts w:eastAsia="仿宋_GB2312"/>
                <w:sz w:val="20"/>
                <w:szCs w:val="20"/>
              </w:rPr>
            </w:pPr>
            <w:r>
              <w:rPr>
                <w:rFonts w:eastAsia="仿宋_GB2312"/>
                <w:kern w:val="0"/>
                <w:sz w:val="20"/>
                <w:szCs w:val="20"/>
              </w:rPr>
              <w:t>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《中华人民共和国动物防疫法》</w:t>
            </w:r>
            <w:r>
              <w:rPr>
                <w:rFonts w:eastAsia="仿宋_GB2312"/>
                <w:kern w:val="0"/>
                <w:sz w:val="20"/>
                <w:szCs w:val="20"/>
              </w:rPr>
              <w:br w:type="textWrapping"/>
            </w:r>
            <w:r>
              <w:rPr>
                <w:rFonts w:eastAsia="仿宋_GB2312"/>
                <w:kern w:val="0"/>
                <w:sz w:val="20"/>
                <w:szCs w:val="20"/>
              </w:rPr>
              <w:t>《动物检疫管理办法》（农业部令2010年第6号）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动物防疫条件合格证核发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《中华人民共和国动物防疫法》</w:t>
            </w:r>
          </w:p>
        </w:tc>
      </w:tr>
      <w:tr>
        <w:tblPrEx>
          <w:tblCellMar>
            <w:top w:w="0" w:type="dxa"/>
            <w:left w:w="108" w:type="dxa"/>
            <w:bottom w:w="0" w:type="dxa"/>
            <w:right w:w="108" w:type="dxa"/>
          </w:tblCellMar>
        </w:tblPrEx>
        <w:trPr>
          <w:trHeight w:val="71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动物诊疗许可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《中华人民共和国动物防疫法》</w:t>
            </w:r>
            <w:r>
              <w:rPr>
                <w:rFonts w:eastAsia="仿宋_GB2312"/>
                <w:kern w:val="0"/>
                <w:sz w:val="20"/>
                <w:szCs w:val="20"/>
              </w:rPr>
              <w:br w:type="textWrapping"/>
            </w:r>
            <w:r>
              <w:rPr>
                <w:rFonts w:eastAsia="仿宋_GB2312"/>
                <w:kern w:val="0"/>
                <w:sz w:val="20"/>
                <w:szCs w:val="20"/>
              </w:rPr>
              <w:t>《动物诊疗机构管理办法》（农业部令2008年第19号）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生猪定点屠宰厂（场）设置</w:t>
            </w:r>
          </w:p>
          <w:p>
            <w:pPr>
              <w:widowControl/>
              <w:spacing w:line="280" w:lineRule="exact"/>
              <w:jc w:val="left"/>
              <w:textAlignment w:val="center"/>
              <w:rPr>
                <w:rFonts w:eastAsia="仿宋_GB2312"/>
                <w:sz w:val="20"/>
                <w:szCs w:val="20"/>
              </w:rPr>
            </w:pPr>
            <w:r>
              <w:rPr>
                <w:rFonts w:eastAsia="仿宋_GB2312"/>
                <w:kern w:val="0"/>
                <w:sz w:val="20"/>
                <w:szCs w:val="20"/>
              </w:rPr>
              <w:t>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市级政府（市行政审批服务管理局承办）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《生猪屠宰管理条例》</w:t>
            </w:r>
          </w:p>
        </w:tc>
      </w:tr>
      <w:tr>
        <w:tblPrEx>
          <w:tblCellMar>
            <w:top w:w="0" w:type="dxa"/>
            <w:left w:w="108" w:type="dxa"/>
            <w:bottom w:w="0" w:type="dxa"/>
            <w:right w:w="108" w:type="dxa"/>
          </w:tblCellMar>
        </w:tblPrEx>
        <w:trPr>
          <w:trHeight w:val="39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生鲜乳收购站许可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《乳品质量安全监督管理条例》</w:t>
            </w:r>
          </w:p>
        </w:tc>
      </w:tr>
      <w:tr>
        <w:tblPrEx>
          <w:tblCellMar>
            <w:top w:w="0" w:type="dxa"/>
            <w:left w:w="108" w:type="dxa"/>
            <w:bottom w:w="0" w:type="dxa"/>
            <w:right w:w="108" w:type="dxa"/>
          </w:tblCellMar>
        </w:tblPrEx>
        <w:trPr>
          <w:trHeight w:val="39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生鲜乳准运证明核发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《乳品质量安全监督管理条例》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拖拉机和联合收割机驾驶证</w:t>
            </w:r>
          </w:p>
          <w:p>
            <w:pPr>
              <w:widowControl/>
              <w:spacing w:line="280" w:lineRule="exact"/>
              <w:jc w:val="left"/>
              <w:textAlignment w:val="center"/>
              <w:rPr>
                <w:rFonts w:eastAsia="仿宋_GB2312"/>
                <w:sz w:val="20"/>
                <w:szCs w:val="20"/>
              </w:rPr>
            </w:pPr>
            <w:r>
              <w:rPr>
                <w:rFonts w:eastAsia="仿宋_GB2312"/>
                <w:kern w:val="0"/>
                <w:sz w:val="20"/>
                <w:szCs w:val="20"/>
              </w:rPr>
              <w:t>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r>
              <w:rPr>
                <w:rFonts w:eastAsia="仿宋_GB2312"/>
                <w:kern w:val="0"/>
                <w:sz w:val="20"/>
                <w:szCs w:val="20"/>
              </w:rPr>
              <w:br w:type="textWrapping"/>
            </w:r>
            <w:r>
              <w:rPr>
                <w:rFonts w:eastAsia="仿宋_GB2312"/>
                <w:kern w:val="0"/>
                <w:sz w:val="20"/>
                <w:szCs w:val="20"/>
              </w:rPr>
              <w:t>《农业机械安全监督管理条例》</w:t>
            </w:r>
          </w:p>
        </w:tc>
      </w:tr>
      <w:tr>
        <w:tblPrEx>
          <w:tblCellMar>
            <w:top w:w="0" w:type="dxa"/>
            <w:left w:w="108" w:type="dxa"/>
            <w:bottom w:w="0" w:type="dxa"/>
            <w:right w:w="108" w:type="dxa"/>
          </w:tblCellMar>
        </w:tblPrEx>
        <w:trPr>
          <w:trHeight w:val="6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拖拉机和联合收割机登记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《中华人民共和国道路交通安全法》</w:t>
            </w:r>
            <w:r>
              <w:rPr>
                <w:rFonts w:eastAsia="仿宋_GB2312"/>
                <w:kern w:val="0"/>
                <w:sz w:val="20"/>
                <w:szCs w:val="20"/>
              </w:rPr>
              <w:br w:type="textWrapping"/>
            </w:r>
            <w:r>
              <w:rPr>
                <w:rFonts w:eastAsia="仿宋_GB2312"/>
                <w:kern w:val="0"/>
                <w:sz w:val="20"/>
                <w:szCs w:val="20"/>
              </w:rPr>
              <w:t>《农业机械安全监督管理条例》</w:t>
            </w:r>
          </w:p>
        </w:tc>
      </w:tr>
      <w:tr>
        <w:tblPrEx>
          <w:tblCellMar>
            <w:top w:w="0" w:type="dxa"/>
            <w:left w:w="108" w:type="dxa"/>
            <w:bottom w:w="0" w:type="dxa"/>
            <w:right w:w="108" w:type="dxa"/>
          </w:tblCellMar>
        </w:tblPrEx>
        <w:trPr>
          <w:trHeight w:val="98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工商企业等社会资本通过流转取得土地经营权审批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市、县级政府（农业农村部门承办）、乡镇政府</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《中华人民共和国农村土地承包法》</w:t>
            </w:r>
            <w:r>
              <w:rPr>
                <w:rFonts w:eastAsia="仿宋_GB2312"/>
                <w:kern w:val="0"/>
                <w:sz w:val="20"/>
                <w:szCs w:val="20"/>
              </w:rPr>
              <w:br w:type="textWrapping"/>
            </w:r>
            <w:r>
              <w:rPr>
                <w:rFonts w:eastAsia="仿宋_GB2312"/>
                <w:kern w:val="0"/>
                <w:sz w:val="20"/>
                <w:szCs w:val="20"/>
              </w:rPr>
              <w:t>《农村土地经营权流转管理办法》（农业农村部令2021年第1号）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179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农村村民宅基地审批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乡镇政府</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《中华人民共和国土地管理法》</w:t>
            </w:r>
          </w:p>
        </w:tc>
      </w:tr>
      <w:tr>
        <w:tblPrEx>
          <w:tblCellMar>
            <w:top w:w="0" w:type="dxa"/>
            <w:left w:w="108" w:type="dxa"/>
            <w:bottom w:w="0" w:type="dxa"/>
            <w:right w:w="108" w:type="dxa"/>
          </w:tblCellMar>
        </w:tblPrEx>
        <w:trPr>
          <w:trHeight w:val="120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渔业船舶船员证书核发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《中华人民共和国渔港水域交通安全管理条例》</w:t>
            </w:r>
            <w:r>
              <w:rPr>
                <w:rFonts w:eastAsia="仿宋_GB2312"/>
                <w:kern w:val="0"/>
                <w:sz w:val="20"/>
                <w:szCs w:val="20"/>
              </w:rPr>
              <w:br w:type="textWrapping"/>
            </w:r>
            <w:r>
              <w:rPr>
                <w:rFonts w:eastAsia="仿宋_GB2312"/>
                <w:kern w:val="0"/>
                <w:sz w:val="20"/>
                <w:szCs w:val="20"/>
              </w:rPr>
              <w:t>《中华人民共和国渔业船员管理办法》（农业部令2014年第4号）</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9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水产苗种生产经营审批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《中华人民共和国渔业法》</w:t>
            </w:r>
            <w:r>
              <w:rPr>
                <w:rFonts w:eastAsia="仿宋_GB2312"/>
                <w:kern w:val="0"/>
                <w:sz w:val="20"/>
                <w:szCs w:val="20"/>
              </w:rPr>
              <w:br w:type="textWrapping"/>
            </w:r>
            <w:r>
              <w:rPr>
                <w:rFonts w:eastAsia="仿宋_GB2312"/>
                <w:kern w:val="0"/>
                <w:sz w:val="20"/>
                <w:szCs w:val="20"/>
              </w:rPr>
              <w:t>《水产苗种管理办法》（农业部令2005年第46号）</w:t>
            </w:r>
            <w:r>
              <w:rPr>
                <w:rFonts w:eastAsia="仿宋_GB2312"/>
                <w:kern w:val="0"/>
                <w:sz w:val="20"/>
                <w:szCs w:val="20"/>
              </w:rPr>
              <w:br w:type="textWrapping"/>
            </w:r>
            <w:r>
              <w:rPr>
                <w:rFonts w:eastAsia="仿宋_GB2312"/>
                <w:kern w:val="0"/>
                <w:sz w:val="20"/>
                <w:szCs w:val="20"/>
              </w:rPr>
              <w:t>《农业转基因生物安全管理条例》</w:t>
            </w:r>
          </w:p>
        </w:tc>
      </w:tr>
      <w:tr>
        <w:tblPrEx>
          <w:tblCellMar>
            <w:top w:w="0" w:type="dxa"/>
            <w:left w:w="108" w:type="dxa"/>
            <w:bottom w:w="0" w:type="dxa"/>
            <w:right w:w="108" w:type="dxa"/>
          </w:tblCellMar>
        </w:tblPrEx>
        <w:trPr>
          <w:trHeight w:val="69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水域滩涂养殖证核发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市、县级政府（审批服务管理部门承办）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《中华人民共和国渔业法》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渔业船网工具指标审批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《中华人民共和国渔业法》</w:t>
            </w:r>
            <w:r>
              <w:rPr>
                <w:rFonts w:eastAsia="仿宋_GB2312"/>
                <w:kern w:val="0"/>
                <w:sz w:val="20"/>
                <w:szCs w:val="20"/>
              </w:rPr>
              <w:br w:type="textWrapping"/>
            </w:r>
            <w:r>
              <w:rPr>
                <w:rFonts w:eastAsia="仿宋_GB2312"/>
                <w:kern w:val="0"/>
                <w:sz w:val="20"/>
                <w:szCs w:val="20"/>
              </w:rPr>
              <w:t>《渔业捕捞许可管理规定》（农业农村部令2018年第1号）</w:t>
            </w:r>
          </w:p>
        </w:tc>
      </w:tr>
      <w:tr>
        <w:tblPrEx>
          <w:tblCellMar>
            <w:top w:w="0" w:type="dxa"/>
            <w:left w:w="108" w:type="dxa"/>
            <w:bottom w:w="0" w:type="dxa"/>
            <w:right w:w="108" w:type="dxa"/>
          </w:tblCellMar>
        </w:tblPrEx>
        <w:trPr>
          <w:trHeight w:val="97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渔业捕捞许可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《中华人民共和国渔业法》</w:t>
            </w:r>
            <w:r>
              <w:rPr>
                <w:rFonts w:eastAsia="仿宋_GB2312"/>
                <w:kern w:val="0"/>
                <w:sz w:val="20"/>
                <w:szCs w:val="20"/>
              </w:rPr>
              <w:br w:type="textWrapping"/>
            </w:r>
            <w:r>
              <w:rPr>
                <w:rFonts w:eastAsia="仿宋_GB2312"/>
                <w:kern w:val="0"/>
                <w:sz w:val="20"/>
                <w:szCs w:val="20"/>
              </w:rPr>
              <w:t>《中华人民共和国渔业法实施细则》</w:t>
            </w:r>
            <w:r>
              <w:rPr>
                <w:rFonts w:eastAsia="仿宋_GB2312"/>
                <w:kern w:val="0"/>
                <w:sz w:val="20"/>
                <w:szCs w:val="20"/>
              </w:rPr>
              <w:br w:type="textWrapping"/>
            </w:r>
            <w:r>
              <w:rPr>
                <w:rFonts w:eastAsia="仿宋_GB2312"/>
                <w:kern w:val="0"/>
                <w:sz w:val="20"/>
                <w:szCs w:val="20"/>
              </w:rPr>
              <w:t>《渔业捕捞许可管理规定》（农业农村部令2018年第1号）</w:t>
            </w:r>
          </w:p>
        </w:tc>
      </w:tr>
      <w:tr>
        <w:tblPrEx>
          <w:tblCellMar>
            <w:top w:w="0" w:type="dxa"/>
            <w:left w:w="108" w:type="dxa"/>
            <w:bottom w:w="0" w:type="dxa"/>
            <w:right w:w="108" w:type="dxa"/>
          </w:tblCellMar>
        </w:tblPrEx>
        <w:trPr>
          <w:trHeight w:val="97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专用航标的设置、撤除、位置移动和其他状况改变审批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《中华人民共和国航标条例》</w:t>
            </w:r>
            <w:r>
              <w:rPr>
                <w:rFonts w:eastAsia="仿宋_GB2312"/>
                <w:kern w:val="0"/>
                <w:sz w:val="20"/>
                <w:szCs w:val="20"/>
              </w:rPr>
              <w:br w:type="textWrapping"/>
            </w:r>
            <w:r>
              <w:rPr>
                <w:rFonts w:eastAsia="仿宋_GB2312"/>
                <w:kern w:val="0"/>
                <w:sz w:val="20"/>
                <w:szCs w:val="20"/>
              </w:rPr>
              <w:t>《渔业航标管理办法》（农业部令2008年第13号）</w:t>
            </w:r>
          </w:p>
        </w:tc>
      </w:tr>
      <w:tr>
        <w:tblPrEx>
          <w:tblCellMar>
            <w:top w:w="0" w:type="dxa"/>
            <w:left w:w="108" w:type="dxa"/>
            <w:bottom w:w="0" w:type="dxa"/>
            <w:right w:w="108" w:type="dxa"/>
          </w:tblCellMar>
        </w:tblPrEx>
        <w:trPr>
          <w:trHeight w:val="98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渔港内新建、改建、扩建设施或者其他水上、水下施工审批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《中华人民共和国渔港水域交通安全管理条例》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渔港内易燃、易爆、有毒等危险品装卸审批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《中华人民共和国渔港水域交通安全管理条例》</w:t>
            </w:r>
          </w:p>
        </w:tc>
      </w:tr>
      <w:tr>
        <w:tblPrEx>
          <w:tblCellMar>
            <w:top w:w="0" w:type="dxa"/>
            <w:left w:w="108" w:type="dxa"/>
            <w:bottom w:w="0" w:type="dxa"/>
            <w:right w:w="108" w:type="dxa"/>
          </w:tblCellMar>
        </w:tblPrEx>
        <w:trPr>
          <w:trHeight w:val="11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渔业船舶国籍登记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市农业农村局、县级农业农村部门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《中华人民共和国船舶登记条例》</w:t>
            </w:r>
            <w:r>
              <w:rPr>
                <w:rFonts w:eastAsia="仿宋_GB2312"/>
                <w:kern w:val="0"/>
                <w:sz w:val="20"/>
                <w:szCs w:val="20"/>
              </w:rPr>
              <w:br w:type="textWrapping"/>
            </w:r>
            <w:r>
              <w:rPr>
                <w:rFonts w:eastAsia="仿宋_GB2312"/>
                <w:kern w:val="0"/>
                <w:sz w:val="20"/>
                <w:szCs w:val="20"/>
              </w:rPr>
              <w:t>《中华人民共和国渔港水域交通安全管理条例》</w:t>
            </w:r>
            <w:r>
              <w:rPr>
                <w:rFonts w:eastAsia="仿宋_GB2312"/>
                <w:kern w:val="0"/>
                <w:sz w:val="20"/>
                <w:szCs w:val="20"/>
              </w:rPr>
              <w:br w:type="textWrapping"/>
            </w:r>
            <w:r>
              <w:rPr>
                <w:rFonts w:eastAsia="仿宋_GB2312"/>
                <w:kern w:val="0"/>
                <w:sz w:val="20"/>
                <w:szCs w:val="20"/>
              </w:rPr>
              <w:t>《中华人民共和国渔业船舶登记办法》（农业部令2012年第8号）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189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成品油零售经营资格审批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省商务厅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市级政府（审批服务管理部门承办）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83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从事拍卖业务许可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省商务厅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市商务局（受理）</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《中华人民共和国拍卖法》</w:t>
            </w:r>
            <w:r>
              <w:rPr>
                <w:rFonts w:eastAsia="仿宋_GB2312"/>
                <w:kern w:val="0"/>
                <w:sz w:val="20"/>
                <w:szCs w:val="20"/>
              </w:rPr>
              <w:br w:type="textWrapping"/>
            </w:r>
            <w:r>
              <w:rPr>
                <w:rFonts w:eastAsia="仿宋_GB2312"/>
                <w:kern w:val="0"/>
                <w:sz w:val="20"/>
                <w:szCs w:val="20"/>
              </w:rPr>
              <w:t>《拍卖管理办法》（商务部令2004年第24号发布，商务部令2015年第2号修订）</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对外劳务合作经营资格核准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省商务厅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《中华人民共和国对外贸易法》</w:t>
            </w:r>
            <w:r>
              <w:rPr>
                <w:rFonts w:eastAsia="仿宋_GB2312"/>
                <w:kern w:val="0"/>
                <w:sz w:val="20"/>
                <w:szCs w:val="20"/>
              </w:rPr>
              <w:br w:type="textWrapping"/>
            </w:r>
            <w:r>
              <w:rPr>
                <w:rFonts w:eastAsia="仿宋_GB2312"/>
                <w:kern w:val="0"/>
                <w:sz w:val="20"/>
                <w:szCs w:val="20"/>
              </w:rPr>
              <w:t>《对外劳务合作管理条例》</w:t>
            </w:r>
          </w:p>
        </w:tc>
      </w:tr>
      <w:tr>
        <w:tblPrEx>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文艺表演团体设立审批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省文旅厅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县级文旅部门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《营业性演出管理条例》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营业性演出审批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省文旅厅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《营业性演出管理条例》</w:t>
            </w:r>
            <w:r>
              <w:rPr>
                <w:rFonts w:eastAsia="仿宋_GB2312"/>
                <w:kern w:val="0"/>
                <w:sz w:val="20"/>
                <w:szCs w:val="20"/>
              </w:rPr>
              <w:br w:type="textWrapping"/>
            </w:r>
            <w:r>
              <w:rPr>
                <w:rFonts w:eastAsia="仿宋_GB2312"/>
                <w:kern w:val="0"/>
                <w:sz w:val="20"/>
                <w:szCs w:val="20"/>
              </w:rPr>
              <w:t>《营业性演出管理条例实施细则》（文化部令第47号）</w:t>
            </w:r>
          </w:p>
        </w:tc>
      </w:tr>
      <w:tr>
        <w:tblPrEx>
          <w:tblCellMar>
            <w:top w:w="0" w:type="dxa"/>
            <w:left w:w="108" w:type="dxa"/>
            <w:bottom w:w="0" w:type="dxa"/>
            <w:right w:w="108" w:type="dxa"/>
          </w:tblCellMar>
        </w:tblPrEx>
        <w:trPr>
          <w:trHeight w:val="36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娱乐场所经营活动审批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省文旅厅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《娱乐场所管理条例》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互联网上网服务营业场所筹建审批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省文旅厅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县级文旅部门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《互联网上网服务营业场所管理条例》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互联网上网服务经营活动审批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省文旅厅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《互联网上网服务营业场所管理条例》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331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旅行社设立许可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省文旅厅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市行政审批服务管理局（省文旅厅委托市级实施，暂由市审批局实施，待省厅调整）</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《中华人民共和国旅游法》</w:t>
            </w:r>
            <w:r>
              <w:rPr>
                <w:rFonts w:eastAsia="仿宋_GB2312"/>
                <w:kern w:val="0"/>
                <w:sz w:val="20"/>
                <w:szCs w:val="20"/>
              </w:rPr>
              <w:br w:type="textWrapping"/>
            </w:r>
            <w:r>
              <w:rPr>
                <w:rFonts w:eastAsia="仿宋_GB2312"/>
                <w:kern w:val="0"/>
                <w:sz w:val="20"/>
                <w:szCs w:val="20"/>
              </w:rPr>
              <w:t>《旅行社条例》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336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饮用水供水单位卫生许可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《中华人民共和国传染病防治法》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199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337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公共场所卫生许可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《公共场所卫生管理条例》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342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医疗机构建设项目放射性职业病危害预评价报告审核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《中华人民共和国职业病防治法》</w:t>
            </w:r>
            <w:r>
              <w:rPr>
                <w:rFonts w:eastAsia="仿宋_GB2312"/>
                <w:kern w:val="0"/>
                <w:sz w:val="20"/>
                <w:szCs w:val="20"/>
              </w:rPr>
              <w:br w:type="textWrapping"/>
            </w:r>
            <w:r>
              <w:rPr>
                <w:rFonts w:eastAsia="仿宋_GB2312"/>
                <w:kern w:val="0"/>
                <w:sz w:val="20"/>
                <w:szCs w:val="20"/>
              </w:rPr>
              <w:t>《放射诊疗管理规定》（卫生部令第46号）</w:t>
            </w:r>
          </w:p>
        </w:tc>
      </w:tr>
      <w:tr>
        <w:tblPrEx>
          <w:tblCellMar>
            <w:top w:w="0" w:type="dxa"/>
            <w:left w:w="108" w:type="dxa"/>
            <w:bottom w:w="0" w:type="dxa"/>
            <w:right w:w="108" w:type="dxa"/>
          </w:tblCellMar>
        </w:tblPrEx>
        <w:trPr>
          <w:trHeight w:val="10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343</w:t>
            </w:r>
          </w:p>
        </w:tc>
        <w:tc>
          <w:tcPr>
            <w:tcW w:w="2410" w:type="dxa"/>
            <w:tcBorders>
              <w:top w:val="single" w:color="000000" w:sz="4" w:space="0"/>
              <w:left w:val="single" w:color="000000" w:sz="4" w:space="0"/>
              <w:bottom w:val="nil"/>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医疗机构建设项目放射性职业病防护设施竣工验收</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《中华人民共和国职业病防治法》</w:t>
            </w:r>
            <w:r>
              <w:rPr>
                <w:rFonts w:eastAsia="仿宋_GB2312"/>
                <w:kern w:val="0"/>
                <w:sz w:val="20"/>
                <w:szCs w:val="20"/>
              </w:rPr>
              <w:br w:type="textWrapping"/>
            </w:r>
            <w:r>
              <w:rPr>
                <w:rFonts w:eastAsia="仿宋_GB2312"/>
                <w:kern w:val="0"/>
                <w:sz w:val="20"/>
                <w:szCs w:val="20"/>
              </w:rPr>
              <w:t>《放射诊疗管理规定》（卫生部令第46号）</w:t>
            </w:r>
          </w:p>
        </w:tc>
      </w:tr>
      <w:tr>
        <w:tblPrEx>
          <w:tblCellMar>
            <w:top w:w="0" w:type="dxa"/>
            <w:left w:w="108" w:type="dxa"/>
            <w:bottom w:w="0" w:type="dxa"/>
            <w:right w:w="108" w:type="dxa"/>
          </w:tblCellMar>
        </w:tblPrEx>
        <w:trPr>
          <w:trHeight w:val="74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344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医疗机构设置审批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《医疗机构管理条例》</w:t>
            </w:r>
          </w:p>
        </w:tc>
      </w:tr>
      <w:tr>
        <w:tblPrEx>
          <w:tblCellMar>
            <w:top w:w="0" w:type="dxa"/>
            <w:left w:w="108" w:type="dxa"/>
            <w:bottom w:w="0" w:type="dxa"/>
            <w:right w:w="108" w:type="dxa"/>
          </w:tblCellMar>
        </w:tblPrEx>
        <w:trPr>
          <w:trHeight w:val="74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345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医疗机构执业登记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《医疗机构管理条例》</w:t>
            </w:r>
          </w:p>
        </w:tc>
      </w:tr>
      <w:tr>
        <w:tblPrEx>
          <w:tblCellMar>
            <w:top w:w="0" w:type="dxa"/>
            <w:left w:w="108" w:type="dxa"/>
            <w:bottom w:w="0" w:type="dxa"/>
            <w:right w:w="108" w:type="dxa"/>
          </w:tblCellMar>
        </w:tblPrEx>
        <w:trPr>
          <w:trHeight w:val="130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347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母婴保健技术服务机构执业</w:t>
            </w:r>
          </w:p>
          <w:p>
            <w:pPr>
              <w:widowControl/>
              <w:spacing w:line="280" w:lineRule="exact"/>
              <w:jc w:val="left"/>
              <w:textAlignment w:val="center"/>
              <w:rPr>
                <w:rFonts w:eastAsia="仿宋_GB2312"/>
                <w:sz w:val="20"/>
                <w:szCs w:val="20"/>
              </w:rPr>
            </w:pPr>
            <w:r>
              <w:rPr>
                <w:rFonts w:eastAsia="仿宋_GB2312"/>
                <w:kern w:val="0"/>
                <w:sz w:val="20"/>
                <w:szCs w:val="20"/>
              </w:rPr>
              <w:t>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《中华人民共和国母婴保健法》</w:t>
            </w:r>
            <w:r>
              <w:rPr>
                <w:rFonts w:eastAsia="仿宋_GB2312"/>
                <w:kern w:val="0"/>
                <w:sz w:val="20"/>
                <w:szCs w:val="20"/>
              </w:rPr>
              <w:br w:type="textWrapping"/>
            </w:r>
            <w:r>
              <w:rPr>
                <w:rFonts w:eastAsia="仿宋_GB2312"/>
                <w:kern w:val="0"/>
                <w:sz w:val="20"/>
                <w:szCs w:val="20"/>
              </w:rPr>
              <w:t>《中华人民共和国母婴保健法实施办法》</w:t>
            </w:r>
            <w:r>
              <w:rPr>
                <w:rFonts w:eastAsia="仿宋_GB2312"/>
                <w:kern w:val="0"/>
                <w:sz w:val="20"/>
                <w:szCs w:val="20"/>
              </w:rPr>
              <w:br w:type="textWrapping"/>
            </w:r>
            <w:r>
              <w:rPr>
                <w:rFonts w:eastAsia="仿宋_GB2312"/>
                <w:kern w:val="0"/>
                <w:sz w:val="20"/>
                <w:szCs w:val="20"/>
              </w:rPr>
              <w:t>《母婴保健专项技术服务许可及人员资格管理办法》（国家卫生健康委令第7号）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349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放射源诊疗技术和医用辐射</w:t>
            </w:r>
          </w:p>
          <w:p>
            <w:pPr>
              <w:widowControl/>
              <w:spacing w:line="280" w:lineRule="exact"/>
              <w:jc w:val="left"/>
              <w:textAlignment w:val="center"/>
              <w:rPr>
                <w:rFonts w:eastAsia="仿宋_GB2312"/>
                <w:sz w:val="20"/>
                <w:szCs w:val="20"/>
              </w:rPr>
            </w:pPr>
            <w:r>
              <w:rPr>
                <w:rFonts w:eastAsia="仿宋_GB2312"/>
                <w:kern w:val="0"/>
                <w:sz w:val="20"/>
                <w:szCs w:val="20"/>
              </w:rPr>
              <w:t>机构许可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《放射性同位素与射线装置安全和防护条例》</w:t>
            </w:r>
            <w:r>
              <w:rPr>
                <w:rFonts w:eastAsia="仿宋_GB2312"/>
                <w:kern w:val="0"/>
                <w:sz w:val="20"/>
                <w:szCs w:val="20"/>
              </w:rPr>
              <w:br w:type="textWrapping"/>
            </w:r>
            <w:r>
              <w:rPr>
                <w:rFonts w:eastAsia="仿宋_GB2312"/>
                <w:kern w:val="0"/>
                <w:sz w:val="20"/>
                <w:szCs w:val="20"/>
              </w:rPr>
              <w:t>《放射诊疗管理规定》（卫生部令第46号）</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352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医疗机构购用麻醉药品、第一类精神药品许可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《中华人民共和国禁毒法》</w:t>
            </w:r>
            <w:r>
              <w:rPr>
                <w:rFonts w:eastAsia="仿宋_GB2312"/>
                <w:kern w:val="0"/>
                <w:sz w:val="20"/>
                <w:szCs w:val="20"/>
              </w:rPr>
              <w:br w:type="textWrapping"/>
            </w:r>
            <w:r>
              <w:rPr>
                <w:rFonts w:eastAsia="仿宋_GB2312"/>
                <w:kern w:val="0"/>
                <w:sz w:val="20"/>
                <w:szCs w:val="20"/>
              </w:rPr>
              <w:t>《麻醉药品和精神药品管理条例》</w:t>
            </w:r>
          </w:p>
        </w:tc>
      </w:tr>
      <w:tr>
        <w:tblPrEx>
          <w:tblCellMar>
            <w:top w:w="0" w:type="dxa"/>
            <w:left w:w="108" w:type="dxa"/>
            <w:bottom w:w="0" w:type="dxa"/>
            <w:right w:w="108" w:type="dxa"/>
          </w:tblCellMar>
        </w:tblPrEx>
        <w:trPr>
          <w:trHeight w:val="69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354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单采血浆站设置审批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由县级卫健部门初审、市级卫健部门二审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《血液制品管理条例》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357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医师执业注册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《中华人民共和国医师法》</w:t>
            </w:r>
            <w:r>
              <w:rPr>
                <w:rFonts w:eastAsia="仿宋_GB2312"/>
                <w:kern w:val="0"/>
                <w:sz w:val="20"/>
                <w:szCs w:val="20"/>
              </w:rPr>
              <w:br w:type="textWrapping"/>
            </w:r>
            <w:r>
              <w:rPr>
                <w:rFonts w:eastAsia="仿宋_GB2312"/>
                <w:kern w:val="0"/>
                <w:sz w:val="20"/>
                <w:szCs w:val="20"/>
              </w:rPr>
              <w:t>《医师执业注册管理办法》（国家卫生和计划生育委员会令第13号）</w:t>
            </w:r>
          </w:p>
        </w:tc>
      </w:tr>
      <w:tr>
        <w:tblPrEx>
          <w:tblCellMar>
            <w:top w:w="0" w:type="dxa"/>
            <w:left w:w="108" w:type="dxa"/>
            <w:bottom w:w="0" w:type="dxa"/>
            <w:right w:w="108" w:type="dxa"/>
          </w:tblCellMar>
        </w:tblPrEx>
        <w:trPr>
          <w:trHeight w:val="44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209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358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乡村医生执业注册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《乡村医生从业管理条例》</w:t>
            </w:r>
          </w:p>
        </w:tc>
      </w:tr>
      <w:tr>
        <w:tblPrEx>
          <w:tblCellMar>
            <w:top w:w="0" w:type="dxa"/>
            <w:left w:w="108" w:type="dxa"/>
            <w:bottom w:w="0" w:type="dxa"/>
            <w:right w:w="108" w:type="dxa"/>
          </w:tblCellMar>
        </w:tblPrEx>
        <w:trPr>
          <w:trHeight w:val="154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母婴保健服务人员资格认定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《中华人民共和国母婴保健法》</w:t>
            </w:r>
            <w:r>
              <w:rPr>
                <w:rFonts w:eastAsia="仿宋_GB2312"/>
                <w:kern w:val="0"/>
                <w:sz w:val="20"/>
                <w:szCs w:val="20"/>
              </w:rPr>
              <w:br w:type="textWrapping"/>
            </w:r>
            <w:r>
              <w:rPr>
                <w:rFonts w:eastAsia="仿宋_GB2312"/>
                <w:kern w:val="0"/>
                <w:sz w:val="20"/>
                <w:szCs w:val="20"/>
              </w:rPr>
              <w:t>《中华人民共和国母婴保健法实施办法》</w:t>
            </w:r>
            <w:r>
              <w:rPr>
                <w:rFonts w:eastAsia="仿宋_GB2312"/>
                <w:kern w:val="0"/>
                <w:sz w:val="20"/>
                <w:szCs w:val="20"/>
              </w:rPr>
              <w:br w:type="textWrapping"/>
            </w:r>
            <w:r>
              <w:rPr>
                <w:rFonts w:eastAsia="仿宋_GB2312"/>
                <w:kern w:val="0"/>
                <w:sz w:val="20"/>
                <w:szCs w:val="20"/>
              </w:rPr>
              <w:t>《母婴保健专项技术服务许可及人员资格管理办法》（国家卫生健康委令第7号）</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84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外籍医师在华短期执业许可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护士执业注册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《护士条例》</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97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确有专长的中医医师资格认定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由县级中医药主管部门受理并逐级上报省级认定</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《中华人民共和国中医药法》</w:t>
            </w:r>
            <w:r>
              <w:rPr>
                <w:rFonts w:eastAsia="仿宋_GB2312"/>
                <w:kern w:val="0"/>
                <w:sz w:val="20"/>
                <w:szCs w:val="20"/>
              </w:rPr>
              <w:br w:type="textWrapping"/>
            </w:r>
            <w:r>
              <w:rPr>
                <w:rFonts w:eastAsia="仿宋_GB2312"/>
                <w:kern w:val="0"/>
                <w:sz w:val="20"/>
                <w:szCs w:val="20"/>
              </w:rPr>
              <w:t>《中医医术确有专长人员医师资格考核注册管理暂行办法》（国家卫生和计划生育委员会令第15号）</w:t>
            </w:r>
          </w:p>
        </w:tc>
      </w:tr>
      <w:tr>
        <w:tblPrEx>
          <w:tblCellMar>
            <w:top w:w="0" w:type="dxa"/>
            <w:left w:w="108" w:type="dxa"/>
            <w:bottom w:w="0" w:type="dxa"/>
            <w:right w:w="108" w:type="dxa"/>
          </w:tblCellMar>
        </w:tblPrEx>
        <w:trPr>
          <w:trHeight w:val="97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确有专长的中医医师执业注册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市卫健委、县中医药主管部门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《中华人民共和国中医药法》</w:t>
            </w:r>
            <w:r>
              <w:rPr>
                <w:rFonts w:eastAsia="仿宋_GB2312"/>
                <w:kern w:val="0"/>
                <w:sz w:val="20"/>
                <w:szCs w:val="20"/>
              </w:rPr>
              <w:br w:type="textWrapping"/>
            </w:r>
            <w:r>
              <w:rPr>
                <w:rFonts w:eastAsia="仿宋_GB2312"/>
                <w:kern w:val="0"/>
                <w:sz w:val="20"/>
                <w:szCs w:val="20"/>
              </w:rPr>
              <w:t>《中医医术确有专长人员医师资格考核注册管理暂行办法》（国家卫生和计划生育委员会令第15号）</w:t>
            </w:r>
          </w:p>
        </w:tc>
      </w:tr>
      <w:tr>
        <w:tblPrEx>
          <w:tblCellMar>
            <w:top w:w="0" w:type="dxa"/>
            <w:left w:w="108" w:type="dxa"/>
            <w:bottom w:w="0" w:type="dxa"/>
            <w:right w:w="108" w:type="dxa"/>
          </w:tblCellMar>
        </w:tblPrEx>
        <w:trPr>
          <w:trHeight w:val="7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中医医疗机构设置审批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市卫健委、县中医药主管部门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《中华人民共和国中医药法》</w:t>
            </w:r>
            <w:r>
              <w:rPr>
                <w:rFonts w:eastAsia="仿宋_GB2312"/>
                <w:kern w:val="0"/>
                <w:sz w:val="20"/>
                <w:szCs w:val="20"/>
              </w:rPr>
              <w:br w:type="textWrapping"/>
            </w:r>
            <w:r>
              <w:rPr>
                <w:rFonts w:eastAsia="仿宋_GB2312"/>
                <w:kern w:val="0"/>
                <w:sz w:val="20"/>
                <w:szCs w:val="20"/>
              </w:rPr>
              <w:t>《医疗机构管理条例》</w:t>
            </w:r>
          </w:p>
        </w:tc>
      </w:tr>
      <w:tr>
        <w:tblPrEx>
          <w:tblCellMar>
            <w:top w:w="0" w:type="dxa"/>
            <w:left w:w="108" w:type="dxa"/>
            <w:bottom w:w="0" w:type="dxa"/>
            <w:right w:w="108" w:type="dxa"/>
          </w:tblCellMar>
        </w:tblPrEx>
        <w:trPr>
          <w:trHeight w:val="71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369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中医医疗机构执业登记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省卫健委</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市卫健委、县中医药主管部门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《中华人民共和国中医药法》</w:t>
            </w:r>
            <w:r>
              <w:rPr>
                <w:rFonts w:eastAsia="仿宋_GB2312"/>
                <w:kern w:val="0"/>
                <w:sz w:val="20"/>
                <w:szCs w:val="20"/>
              </w:rPr>
              <w:br w:type="textWrapping"/>
            </w:r>
            <w:r>
              <w:rPr>
                <w:rFonts w:eastAsia="仿宋_GB2312"/>
                <w:kern w:val="0"/>
                <w:sz w:val="20"/>
                <w:szCs w:val="20"/>
              </w:rPr>
              <w:t>《医疗机构管理条例》</w:t>
            </w:r>
          </w:p>
        </w:tc>
      </w:tr>
      <w:tr>
        <w:tblPrEx>
          <w:tblCellMar>
            <w:top w:w="0" w:type="dxa"/>
            <w:left w:w="108" w:type="dxa"/>
            <w:bottom w:w="0" w:type="dxa"/>
            <w:right w:w="108" w:type="dxa"/>
          </w:tblCellMar>
        </w:tblPrEx>
        <w:trPr>
          <w:trHeight w:val="196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370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石油天然气建设项目安全设施设计审查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省应急厅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市应急管理局、县级应急部门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《中华人民共和国安全生产法》</w:t>
            </w:r>
            <w:r>
              <w:rPr>
                <w:rFonts w:eastAsia="仿宋_GB2312"/>
                <w:kern w:val="0"/>
                <w:sz w:val="20"/>
                <w:szCs w:val="20"/>
              </w:rPr>
              <w:br w:type="textWrapping"/>
            </w:r>
            <w:r>
              <w:rPr>
                <w:rFonts w:eastAsia="仿宋_GB2312"/>
                <w:kern w:val="0"/>
                <w:sz w:val="20"/>
                <w:szCs w:val="20"/>
              </w:rPr>
              <w:t>《建设项目安全设施“三同时监督管理办法》（国家安全生产监督管理总局令第36号，国家安全生产监督管理总局令第77号修正）</w:t>
            </w:r>
            <w:r>
              <w:rPr>
                <w:rFonts w:eastAsia="仿宋_GB2312"/>
                <w:kern w:val="0"/>
                <w:sz w:val="20"/>
                <w:szCs w:val="20"/>
              </w:rPr>
              <w:br w:type="textWrapping"/>
            </w:r>
            <w:r>
              <w:rPr>
                <w:rFonts w:eastAsia="仿宋_GB2312"/>
                <w:kern w:val="0"/>
                <w:sz w:val="20"/>
                <w:szCs w:val="20"/>
              </w:rPr>
              <w:t>《国家安全监管总局办公厅关于明确非煤矿山建设项目安全监管职责等事项的通知》（安监总厅管一〔2013〕143号）</w:t>
            </w:r>
          </w:p>
        </w:tc>
      </w:tr>
      <w:tr>
        <w:tblPrEx>
          <w:tblCellMar>
            <w:top w:w="0" w:type="dxa"/>
            <w:left w:w="108" w:type="dxa"/>
            <w:bottom w:w="0" w:type="dxa"/>
            <w:right w:w="108" w:type="dxa"/>
          </w:tblCellMar>
        </w:tblPrEx>
        <w:trPr>
          <w:trHeight w:val="210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372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金属冶炼建设项目安全设施</w:t>
            </w:r>
          </w:p>
          <w:p>
            <w:pPr>
              <w:widowControl/>
              <w:spacing w:line="280" w:lineRule="exact"/>
              <w:jc w:val="left"/>
              <w:textAlignment w:val="center"/>
              <w:rPr>
                <w:rFonts w:eastAsia="仿宋_GB2312"/>
                <w:sz w:val="20"/>
                <w:szCs w:val="20"/>
              </w:rPr>
            </w:pPr>
            <w:r>
              <w:rPr>
                <w:rFonts w:eastAsia="仿宋_GB2312"/>
                <w:kern w:val="0"/>
                <w:sz w:val="20"/>
                <w:szCs w:val="20"/>
              </w:rPr>
              <w:t>设计审查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省应急厅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市应急管理局、县级应急部门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《中华人民共和国安全生产法》</w:t>
            </w:r>
            <w:r>
              <w:rPr>
                <w:rFonts w:eastAsia="仿宋_GB2312"/>
                <w:kern w:val="0"/>
                <w:sz w:val="20"/>
                <w:szCs w:val="20"/>
              </w:rPr>
              <w:br w:type="textWrapping"/>
            </w:r>
            <w:r>
              <w:rPr>
                <w:rFonts w:eastAsia="仿宋_GB2312"/>
                <w:kern w:val="0"/>
                <w:sz w:val="20"/>
                <w:szCs w:val="20"/>
              </w:rPr>
              <w:t>《建设项目安全设施“三同时监督管理办法》（国家安全生产监督管理总局令第36号，国家安全生产监督管理总局令第77号修正）</w:t>
            </w:r>
            <w:r>
              <w:rPr>
                <w:rFonts w:eastAsia="仿宋_GB2312"/>
                <w:kern w:val="0"/>
                <w:sz w:val="20"/>
                <w:szCs w:val="20"/>
              </w:rPr>
              <w:br w:type="textWrapping"/>
            </w:r>
            <w:r>
              <w:rPr>
                <w:rFonts w:eastAsia="仿宋_GB2312"/>
                <w:kern w:val="0"/>
                <w:sz w:val="20"/>
                <w:szCs w:val="20"/>
              </w:rPr>
              <w:t>《冶金企业和有色金属企业安全生产规定》（国家安全生产监督管理总局令第91号）</w:t>
            </w:r>
          </w:p>
        </w:tc>
      </w:tr>
      <w:tr>
        <w:tblPrEx>
          <w:tblCellMar>
            <w:top w:w="0" w:type="dxa"/>
            <w:left w:w="108" w:type="dxa"/>
            <w:bottom w:w="0" w:type="dxa"/>
            <w:right w:w="108" w:type="dxa"/>
          </w:tblCellMar>
        </w:tblPrEx>
        <w:trPr>
          <w:trHeight w:val="155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219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373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生产、储存危险化学品建设</w:t>
            </w:r>
          </w:p>
          <w:p>
            <w:pPr>
              <w:widowControl/>
              <w:spacing w:line="280" w:lineRule="exact"/>
              <w:jc w:val="left"/>
              <w:textAlignment w:val="center"/>
              <w:rPr>
                <w:rFonts w:eastAsia="仿宋_GB2312"/>
                <w:sz w:val="20"/>
                <w:szCs w:val="20"/>
              </w:rPr>
            </w:pPr>
            <w:r>
              <w:rPr>
                <w:rFonts w:eastAsia="仿宋_GB2312"/>
                <w:kern w:val="0"/>
                <w:sz w:val="20"/>
                <w:szCs w:val="20"/>
              </w:rPr>
              <w:t>项目安全条件审查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省应急厅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市应急管理局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《危险化学品安全管理条例》</w:t>
            </w:r>
            <w:r>
              <w:rPr>
                <w:rFonts w:eastAsia="仿宋_GB2312"/>
                <w:kern w:val="0"/>
                <w:sz w:val="20"/>
                <w:szCs w:val="20"/>
              </w:rPr>
              <w:br w:type="textWrapping"/>
            </w:r>
            <w:r>
              <w:rPr>
                <w:rFonts w:eastAsia="仿宋_GB2312"/>
                <w:kern w:val="0"/>
                <w:sz w:val="20"/>
                <w:szCs w:val="20"/>
              </w:rPr>
              <w:t>《危险化学品建设项目安全监督管理办法》（国家安全生产监督管理总局令第45号，国家安全生产监督管理总局令第79号修正）</w:t>
            </w:r>
          </w:p>
        </w:tc>
      </w:tr>
      <w:tr>
        <w:tblPrEx>
          <w:tblCellMar>
            <w:top w:w="0" w:type="dxa"/>
            <w:left w:w="108" w:type="dxa"/>
            <w:bottom w:w="0" w:type="dxa"/>
            <w:right w:w="108" w:type="dxa"/>
          </w:tblCellMar>
        </w:tblPrEx>
        <w:trPr>
          <w:trHeight w:val="169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374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生产、储存危险化学品建设</w:t>
            </w:r>
          </w:p>
          <w:p>
            <w:pPr>
              <w:widowControl/>
              <w:spacing w:line="280" w:lineRule="exact"/>
              <w:jc w:val="left"/>
              <w:textAlignment w:val="center"/>
              <w:rPr>
                <w:rFonts w:eastAsia="仿宋_GB2312"/>
                <w:sz w:val="20"/>
                <w:szCs w:val="20"/>
              </w:rPr>
            </w:pPr>
            <w:r>
              <w:rPr>
                <w:rFonts w:eastAsia="仿宋_GB2312"/>
                <w:kern w:val="0"/>
                <w:sz w:val="20"/>
                <w:szCs w:val="20"/>
              </w:rPr>
              <w:t>项目安全设施设计审查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省应急厅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市应急管理局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《中华人民共和国安全生产法》</w:t>
            </w:r>
            <w:r>
              <w:rPr>
                <w:rFonts w:eastAsia="仿宋_GB2312"/>
                <w:kern w:val="0"/>
                <w:sz w:val="20"/>
                <w:szCs w:val="20"/>
              </w:rPr>
              <w:br w:type="textWrapping"/>
            </w:r>
            <w:r>
              <w:rPr>
                <w:rFonts w:eastAsia="仿宋_GB2312"/>
                <w:kern w:val="0"/>
                <w:sz w:val="20"/>
                <w:szCs w:val="20"/>
              </w:rPr>
              <w:t>《危险化学品建设项目安全监督管理办法》（国家安全生产监督管理总局令第45号，国家安全生产监督管理总局令第79号修正）</w:t>
            </w:r>
          </w:p>
        </w:tc>
      </w:tr>
      <w:tr>
        <w:tblPrEx>
          <w:tblCellMar>
            <w:top w:w="0" w:type="dxa"/>
            <w:left w:w="108" w:type="dxa"/>
            <w:bottom w:w="0" w:type="dxa"/>
            <w:right w:w="108" w:type="dxa"/>
          </w:tblCellMar>
        </w:tblPrEx>
        <w:trPr>
          <w:trHeight w:val="17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376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危险化学品安全使用许可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省应急厅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市应急管理局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《危险化学品安全管理条例》</w:t>
            </w:r>
            <w:r>
              <w:rPr>
                <w:rFonts w:eastAsia="仿宋_GB2312"/>
                <w:kern w:val="0"/>
                <w:sz w:val="20"/>
                <w:szCs w:val="20"/>
              </w:rPr>
              <w:br w:type="textWrapping"/>
            </w:r>
            <w:r>
              <w:rPr>
                <w:rFonts w:eastAsia="仿宋_GB2312"/>
                <w:kern w:val="0"/>
                <w:sz w:val="20"/>
                <w:szCs w:val="20"/>
              </w:rPr>
              <w:t>《危险化学品安全使用许可证实施办法》（国家安全生产监督管理总局令第57号，国家安全生产监督管理总局令第79号第一次修正，国家安全生产监督管理总局令第89号第二次修正）</w:t>
            </w:r>
          </w:p>
        </w:tc>
      </w:tr>
      <w:tr>
        <w:tblPrEx>
          <w:tblCellMar>
            <w:top w:w="0" w:type="dxa"/>
            <w:left w:w="108" w:type="dxa"/>
            <w:bottom w:w="0" w:type="dxa"/>
            <w:right w:w="108" w:type="dxa"/>
          </w:tblCellMar>
        </w:tblPrEx>
        <w:trPr>
          <w:trHeight w:val="154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377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省应急厅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市应急管理局、县级应急部门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《危险化学品安全管理条例》</w:t>
            </w:r>
            <w:r>
              <w:rPr>
                <w:rFonts w:eastAsia="仿宋_GB2312"/>
                <w:kern w:val="0"/>
                <w:sz w:val="20"/>
                <w:szCs w:val="20"/>
              </w:rPr>
              <w:br w:type="textWrapping"/>
            </w:r>
            <w:r>
              <w:rPr>
                <w:rFonts w:eastAsia="仿宋_GB2312"/>
                <w:kern w:val="0"/>
                <w:sz w:val="20"/>
                <w:szCs w:val="20"/>
              </w:rPr>
              <w:t>《危险化学品经营许可证管理办法》（国家安全生产监督管理总局令第55号，国家安全生产监督管理总局令第79号修正）</w:t>
            </w:r>
          </w:p>
        </w:tc>
      </w:tr>
      <w:tr>
        <w:tblPrEx>
          <w:tblCellMar>
            <w:top w:w="0" w:type="dxa"/>
            <w:left w:w="108" w:type="dxa"/>
            <w:bottom w:w="0" w:type="dxa"/>
            <w:right w:w="108" w:type="dxa"/>
          </w:tblCellMar>
        </w:tblPrEx>
        <w:trPr>
          <w:trHeight w:val="381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383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矿山建设项目安全设施设计</w:t>
            </w:r>
          </w:p>
          <w:p>
            <w:pPr>
              <w:widowControl/>
              <w:spacing w:line="280" w:lineRule="exact"/>
              <w:jc w:val="left"/>
              <w:textAlignment w:val="center"/>
              <w:rPr>
                <w:rFonts w:eastAsia="仿宋_GB2312"/>
                <w:sz w:val="20"/>
                <w:szCs w:val="20"/>
              </w:rPr>
            </w:pPr>
            <w:r>
              <w:rPr>
                <w:rFonts w:eastAsia="仿宋_GB2312"/>
                <w:kern w:val="0"/>
                <w:sz w:val="20"/>
                <w:szCs w:val="20"/>
              </w:rPr>
              <w:t>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省应急厅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市应急管理局、县级应急部门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《中华人民共和国安全生产法》</w:t>
            </w:r>
            <w:r>
              <w:rPr>
                <w:rFonts w:eastAsia="仿宋_GB2312"/>
                <w:kern w:val="0"/>
                <w:sz w:val="20"/>
                <w:szCs w:val="20"/>
              </w:rPr>
              <w:br w:type="textWrapping"/>
            </w:r>
            <w:r>
              <w:rPr>
                <w:rFonts w:eastAsia="仿宋_GB2312"/>
                <w:kern w:val="0"/>
                <w:sz w:val="20"/>
                <w:szCs w:val="20"/>
              </w:rPr>
              <w:t>《煤矿安全监察条例》</w:t>
            </w:r>
            <w:r>
              <w:rPr>
                <w:rFonts w:eastAsia="仿宋_GB2312"/>
                <w:kern w:val="0"/>
                <w:sz w:val="20"/>
                <w:szCs w:val="20"/>
              </w:rPr>
              <w:br w:type="textWrapping"/>
            </w:r>
            <w:r>
              <w:rPr>
                <w:rFonts w:eastAsia="仿宋_GB2312"/>
                <w:kern w:val="0"/>
                <w:sz w:val="20"/>
                <w:szCs w:val="20"/>
              </w:rPr>
              <w:t>《煤矿建设项目安全设施监察规定》（国家安全生产监督管理总局令第6号）</w:t>
            </w:r>
            <w:r>
              <w:rPr>
                <w:rFonts w:eastAsia="仿宋_GB2312"/>
                <w:kern w:val="0"/>
                <w:sz w:val="20"/>
                <w:szCs w:val="20"/>
              </w:rPr>
              <w:br w:type="textWrapping"/>
            </w:r>
            <w:r>
              <w:rPr>
                <w:rFonts w:eastAsia="仿宋_GB2312"/>
                <w:kern w:val="0"/>
                <w:sz w:val="20"/>
                <w:szCs w:val="20"/>
              </w:rPr>
              <w:t>《建设项目安全设施“三同时监督管理办法》（国家安全生产监督管理总局令第36号，国家安全生产监督管理总局令第77号修正）</w:t>
            </w:r>
            <w:r>
              <w:rPr>
                <w:rFonts w:eastAsia="仿宋_GB2312"/>
                <w:kern w:val="0"/>
                <w:sz w:val="20"/>
                <w:szCs w:val="20"/>
              </w:rPr>
              <w:br w:type="textWrapping"/>
            </w:r>
            <w:r>
              <w:rPr>
                <w:rFonts w:eastAsia="仿宋_GB2312"/>
                <w:kern w:val="0"/>
                <w:sz w:val="20"/>
                <w:szCs w:val="20"/>
              </w:rPr>
              <w:t>《国家安全监管总局办公厅关于切实做好国家取消和下放投资审批有关建设项目安全监管工作的通知》（安监总厅政法〔2013〕120号）</w:t>
            </w:r>
            <w:r>
              <w:rPr>
                <w:rFonts w:eastAsia="仿宋_GB2312"/>
                <w:kern w:val="0"/>
                <w:sz w:val="20"/>
                <w:szCs w:val="20"/>
              </w:rPr>
              <w:br w:type="textWrapping"/>
            </w:r>
            <w:r>
              <w:rPr>
                <w:rFonts w:eastAsia="仿宋_GB2312"/>
                <w:kern w:val="0"/>
                <w:sz w:val="20"/>
                <w:szCs w:val="20"/>
              </w:rPr>
              <w:t>《国家安全监管总局办公厅关于明确非煤矿山建设项目安全监管职责等事项的通知》（安监总厅管一〔2013〕143号）</w:t>
            </w:r>
            <w:r>
              <w:rPr>
                <w:rFonts w:eastAsia="仿宋_GB2312"/>
                <w:kern w:val="0"/>
                <w:sz w:val="20"/>
                <w:szCs w:val="20"/>
              </w:rPr>
              <w:br w:type="textWrapping"/>
            </w:r>
            <w:r>
              <w:rPr>
                <w:rFonts w:eastAsia="仿宋_GB2312"/>
                <w:kern w:val="0"/>
                <w:sz w:val="20"/>
                <w:szCs w:val="20"/>
              </w:rPr>
              <w:t>《中华人民共和国应急管理部公告》（2021年第1号）</w:t>
            </w:r>
          </w:p>
        </w:tc>
      </w:tr>
      <w:tr>
        <w:tblPrEx>
          <w:tblCellMar>
            <w:top w:w="0" w:type="dxa"/>
            <w:left w:w="108" w:type="dxa"/>
            <w:bottom w:w="0" w:type="dxa"/>
            <w:right w:w="108" w:type="dxa"/>
          </w:tblCellMar>
        </w:tblPrEx>
        <w:trPr>
          <w:trHeight w:val="71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386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公众聚集场所投入使用、营业前消防安全检查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省消防救援总队</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市消防救援支队、县级消防救援机构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《中华人民共和国消防法》</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392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食品生产许可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《中华人民共和国食品安全法》</w:t>
            </w:r>
            <w:r>
              <w:rPr>
                <w:rFonts w:eastAsia="仿宋_GB2312"/>
                <w:kern w:val="0"/>
                <w:sz w:val="20"/>
                <w:szCs w:val="20"/>
              </w:rPr>
              <w:br w:type="textWrapping"/>
            </w:r>
            <w:r>
              <w:rPr>
                <w:rFonts w:eastAsia="仿宋_GB2312"/>
                <w:kern w:val="0"/>
                <w:sz w:val="20"/>
                <w:szCs w:val="20"/>
              </w:rPr>
              <w:t>《食品生产许可管理办法》（国家市场监督管理总局令第24号）</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393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食品添加剂生产许可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《中华人民共和国食品安全法》</w:t>
            </w:r>
            <w:r>
              <w:rPr>
                <w:rFonts w:eastAsia="仿宋_GB2312"/>
                <w:kern w:val="0"/>
                <w:sz w:val="20"/>
                <w:szCs w:val="20"/>
              </w:rPr>
              <w:br w:type="textWrapping"/>
            </w:r>
            <w:r>
              <w:rPr>
                <w:rFonts w:eastAsia="仿宋_GB2312"/>
                <w:kern w:val="0"/>
                <w:sz w:val="20"/>
                <w:szCs w:val="20"/>
              </w:rPr>
              <w:t>《食品生产许可管理办法》（国家市场监督管理总局令第24号）</w:t>
            </w:r>
          </w:p>
        </w:tc>
      </w:tr>
      <w:tr>
        <w:tblPrEx>
          <w:tblCellMar>
            <w:top w:w="0" w:type="dxa"/>
            <w:left w:w="108" w:type="dxa"/>
            <w:bottom w:w="0" w:type="dxa"/>
            <w:right w:w="108" w:type="dxa"/>
          </w:tblCellMar>
        </w:tblPrEx>
        <w:trPr>
          <w:trHeight w:val="83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394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食品经营许可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《中华人民共和国食品安全法》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397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特种设备使用登记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《中华人民共和国特种设备安全法》</w:t>
            </w:r>
            <w:r>
              <w:rPr>
                <w:rFonts w:eastAsia="仿宋_GB2312"/>
                <w:kern w:val="0"/>
                <w:sz w:val="20"/>
                <w:szCs w:val="20"/>
              </w:rPr>
              <w:br w:type="textWrapping"/>
            </w:r>
            <w:r>
              <w:rPr>
                <w:rFonts w:eastAsia="仿宋_GB2312"/>
                <w:kern w:val="0"/>
                <w:sz w:val="20"/>
                <w:szCs w:val="20"/>
              </w:rPr>
              <w:t>《特种设备安全监察条例》</w:t>
            </w:r>
          </w:p>
        </w:tc>
      </w:tr>
      <w:tr>
        <w:tblPrEx>
          <w:tblCellMar>
            <w:top w:w="0" w:type="dxa"/>
            <w:left w:w="108" w:type="dxa"/>
            <w:bottom w:w="0" w:type="dxa"/>
            <w:right w:w="108" w:type="dxa"/>
          </w:tblCellMar>
        </w:tblPrEx>
        <w:trPr>
          <w:trHeight w:val="168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229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400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特种设备安全管理和作业人员资格认定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eastAsia="仿宋_GB2312"/>
                <w:sz w:val="20"/>
                <w:szCs w:val="20"/>
              </w:rPr>
            </w:pPr>
            <w:r>
              <w:rPr>
                <w:rFonts w:eastAsia="仿宋_GB2312"/>
                <w:kern w:val="0"/>
                <w:sz w:val="20"/>
                <w:szCs w:val="20"/>
              </w:rPr>
              <w:t>《中华人民共和国特种设备安全法》</w:t>
            </w:r>
            <w:r>
              <w:rPr>
                <w:rFonts w:eastAsia="仿宋_GB2312"/>
                <w:kern w:val="0"/>
                <w:sz w:val="20"/>
                <w:szCs w:val="20"/>
              </w:rPr>
              <w:br w:type="textWrapping"/>
            </w:r>
            <w:r>
              <w:rPr>
                <w:rFonts w:eastAsia="仿宋_GB2312"/>
                <w:kern w:val="0"/>
                <w:sz w:val="20"/>
                <w:szCs w:val="20"/>
              </w:rPr>
              <w:t>《特种设备安全监察条例》</w:t>
            </w:r>
            <w:r>
              <w:rPr>
                <w:rFonts w:eastAsia="仿宋_GB2312"/>
                <w:kern w:val="0"/>
                <w:sz w:val="20"/>
                <w:szCs w:val="20"/>
              </w:rPr>
              <w:br w:type="textWrapping"/>
            </w:r>
            <w:r>
              <w:rPr>
                <w:rFonts w:eastAsia="仿宋_GB2312"/>
                <w:kern w:val="0"/>
                <w:sz w:val="20"/>
                <w:szCs w:val="20"/>
              </w:rPr>
              <w:t>《特种设备作业人员监督管理办法》（国家质量监督检验检疫总局令第140号）</w:t>
            </w:r>
            <w:r>
              <w:rPr>
                <w:rFonts w:eastAsia="仿宋_GB2312"/>
                <w:kern w:val="0"/>
                <w:sz w:val="20"/>
                <w:szCs w:val="20"/>
              </w:rPr>
              <w:br w:type="textWrapping"/>
            </w:r>
            <w:r>
              <w:rPr>
                <w:rFonts w:eastAsia="仿宋_GB2312"/>
                <w:kern w:val="0"/>
                <w:sz w:val="20"/>
                <w:szCs w:val="20"/>
              </w:rPr>
              <w:t>《国家职业资格目录（2021年版）》</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401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计量标准器具核准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《中华人民共和国计量法》</w:t>
            </w:r>
            <w:r>
              <w:rPr>
                <w:rFonts w:eastAsia="仿宋_GB2312"/>
                <w:kern w:val="0"/>
                <w:sz w:val="20"/>
                <w:szCs w:val="20"/>
              </w:rPr>
              <w:br w:type="textWrapping"/>
            </w:r>
            <w:r>
              <w:rPr>
                <w:rFonts w:eastAsia="仿宋_GB2312"/>
                <w:kern w:val="0"/>
                <w:sz w:val="20"/>
                <w:szCs w:val="20"/>
              </w:rPr>
              <w:t>《中华人民共和国计量法实施细则》</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403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承担国家法定计量检定机构</w:t>
            </w:r>
          </w:p>
          <w:p>
            <w:pPr>
              <w:widowControl/>
              <w:spacing w:line="280" w:lineRule="exact"/>
              <w:jc w:val="left"/>
              <w:textAlignment w:val="center"/>
              <w:rPr>
                <w:rFonts w:eastAsia="仿宋_GB2312"/>
                <w:sz w:val="20"/>
                <w:szCs w:val="20"/>
              </w:rPr>
            </w:pPr>
            <w:r>
              <w:rPr>
                <w:rFonts w:eastAsia="仿宋_GB2312"/>
                <w:kern w:val="0"/>
                <w:sz w:val="20"/>
                <w:szCs w:val="20"/>
              </w:rPr>
              <w:t>任务授权</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《中华人民共和国计量法》</w:t>
            </w:r>
            <w:r>
              <w:rPr>
                <w:rFonts w:eastAsia="仿宋_GB2312"/>
                <w:kern w:val="0"/>
                <w:sz w:val="20"/>
                <w:szCs w:val="20"/>
              </w:rPr>
              <w:br w:type="textWrapping"/>
            </w:r>
            <w:r>
              <w:rPr>
                <w:rFonts w:eastAsia="仿宋_GB2312"/>
                <w:kern w:val="0"/>
                <w:sz w:val="20"/>
                <w:szCs w:val="20"/>
              </w:rPr>
              <w:t>《中华人民共和国计量法实施细则》</w:t>
            </w:r>
          </w:p>
        </w:tc>
      </w:tr>
      <w:tr>
        <w:tblPrEx>
          <w:tblCellMar>
            <w:top w:w="0" w:type="dxa"/>
            <w:left w:w="108" w:type="dxa"/>
            <w:bottom w:w="0" w:type="dxa"/>
            <w:right w:w="108" w:type="dxa"/>
          </w:tblCellMar>
        </w:tblPrEx>
        <w:trPr>
          <w:trHeight w:val="238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410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企业登记注册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《中华人民共和国公司法》</w:t>
            </w:r>
            <w:r>
              <w:rPr>
                <w:rFonts w:eastAsia="仿宋_GB2312"/>
                <w:kern w:val="0"/>
                <w:sz w:val="20"/>
                <w:szCs w:val="20"/>
              </w:rPr>
              <w:br w:type="textWrapping"/>
            </w:r>
            <w:r>
              <w:rPr>
                <w:rFonts w:eastAsia="仿宋_GB2312"/>
                <w:kern w:val="0"/>
                <w:sz w:val="20"/>
                <w:szCs w:val="20"/>
              </w:rPr>
              <w:t>《中华人民共和国合伙企业法》</w:t>
            </w:r>
            <w:r>
              <w:rPr>
                <w:rFonts w:eastAsia="仿宋_GB2312"/>
                <w:kern w:val="0"/>
                <w:sz w:val="20"/>
                <w:szCs w:val="20"/>
              </w:rPr>
              <w:br w:type="textWrapping"/>
            </w:r>
            <w:r>
              <w:rPr>
                <w:rFonts w:eastAsia="仿宋_GB2312"/>
                <w:kern w:val="0"/>
                <w:sz w:val="20"/>
                <w:szCs w:val="20"/>
              </w:rPr>
              <w:t>《中华人民共和国个人独资企业法》</w:t>
            </w:r>
            <w:r>
              <w:rPr>
                <w:rFonts w:eastAsia="仿宋_GB2312"/>
                <w:kern w:val="0"/>
                <w:sz w:val="20"/>
                <w:szCs w:val="20"/>
              </w:rPr>
              <w:br w:type="textWrapping"/>
            </w:r>
            <w:r>
              <w:rPr>
                <w:rFonts w:eastAsia="仿宋_GB2312"/>
                <w:kern w:val="0"/>
                <w:sz w:val="20"/>
                <w:szCs w:val="20"/>
              </w:rPr>
              <w:t>《中华人民共和国外商投资法》</w:t>
            </w:r>
            <w:r>
              <w:rPr>
                <w:rFonts w:eastAsia="仿宋_GB2312"/>
                <w:kern w:val="0"/>
                <w:sz w:val="20"/>
                <w:szCs w:val="20"/>
              </w:rPr>
              <w:br w:type="textWrapping"/>
            </w:r>
            <w:r>
              <w:rPr>
                <w:rFonts w:eastAsia="仿宋_GB2312"/>
                <w:kern w:val="0"/>
                <w:sz w:val="20"/>
                <w:szCs w:val="20"/>
              </w:rPr>
              <w:t>《中华人民共和国外商投资法实施条例》</w:t>
            </w:r>
            <w:r>
              <w:rPr>
                <w:rFonts w:eastAsia="仿宋_GB2312"/>
                <w:kern w:val="0"/>
                <w:sz w:val="20"/>
                <w:szCs w:val="20"/>
              </w:rPr>
              <w:br w:type="textWrapping"/>
            </w:r>
            <w:r>
              <w:rPr>
                <w:rFonts w:eastAsia="仿宋_GB2312"/>
                <w:kern w:val="0"/>
                <w:sz w:val="20"/>
                <w:szCs w:val="20"/>
              </w:rPr>
              <w:t>《中华人民共和国公司登记管理条例》</w:t>
            </w:r>
            <w:r>
              <w:rPr>
                <w:rFonts w:eastAsia="仿宋_GB2312"/>
                <w:kern w:val="0"/>
                <w:sz w:val="20"/>
                <w:szCs w:val="20"/>
              </w:rPr>
              <w:br w:type="textWrapping"/>
            </w:r>
            <w:r>
              <w:rPr>
                <w:rFonts w:eastAsia="仿宋_GB2312"/>
                <w:kern w:val="0"/>
                <w:sz w:val="20"/>
                <w:szCs w:val="20"/>
              </w:rPr>
              <w:t>《中华人民共和国企业法人登记管理条例》</w:t>
            </w:r>
            <w:r>
              <w:rPr>
                <w:rFonts w:eastAsia="仿宋_GB2312"/>
                <w:kern w:val="0"/>
                <w:sz w:val="20"/>
                <w:szCs w:val="20"/>
              </w:rPr>
              <w:br w:type="textWrapping"/>
            </w:r>
            <w:r>
              <w:rPr>
                <w:rFonts w:eastAsia="仿宋_GB2312"/>
                <w:kern w:val="0"/>
                <w:sz w:val="20"/>
                <w:szCs w:val="20"/>
              </w:rPr>
              <w:t>《中华人民共和国合伙企业登记管理办法》</w:t>
            </w:r>
          </w:p>
        </w:tc>
      </w:tr>
      <w:tr>
        <w:tblPrEx>
          <w:tblCellMar>
            <w:top w:w="0" w:type="dxa"/>
            <w:left w:w="108" w:type="dxa"/>
            <w:bottom w:w="0" w:type="dxa"/>
            <w:right w:w="108" w:type="dxa"/>
          </w:tblCellMar>
        </w:tblPrEx>
        <w:trPr>
          <w:trHeight w:val="41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411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个体工商户登记注册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《个体工商户条例》</w:t>
            </w:r>
          </w:p>
        </w:tc>
      </w:tr>
      <w:tr>
        <w:tblPrEx>
          <w:tblCellMar>
            <w:top w:w="0" w:type="dxa"/>
            <w:left w:w="108" w:type="dxa"/>
            <w:bottom w:w="0" w:type="dxa"/>
            <w:right w:w="108" w:type="dxa"/>
          </w:tblCellMar>
        </w:tblPrEx>
        <w:trPr>
          <w:trHeight w:val="6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412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农民专业合作社登记注册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省市场监管局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《中华人民共和国农民专业合作社法》</w:t>
            </w:r>
            <w:r>
              <w:rPr>
                <w:rFonts w:eastAsia="仿宋_GB2312"/>
                <w:kern w:val="0"/>
                <w:sz w:val="20"/>
                <w:szCs w:val="20"/>
              </w:rPr>
              <w:br w:type="textWrapping"/>
            </w:r>
            <w:r>
              <w:rPr>
                <w:rFonts w:eastAsia="仿宋_GB2312"/>
                <w:kern w:val="0"/>
                <w:sz w:val="20"/>
                <w:szCs w:val="20"/>
              </w:rPr>
              <w:t>《农民专业合作社登记管理条例》</w:t>
            </w:r>
          </w:p>
        </w:tc>
      </w:tr>
      <w:tr>
        <w:tblPrEx>
          <w:tblCellMar>
            <w:top w:w="0" w:type="dxa"/>
            <w:left w:w="108" w:type="dxa"/>
            <w:bottom w:w="0" w:type="dxa"/>
            <w:right w:w="108" w:type="dxa"/>
          </w:tblCellMar>
        </w:tblPrEx>
        <w:trPr>
          <w:trHeight w:val="128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425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乡镇设立广播电视站和机关、部队、团体、企业事业单位设立有线广播电视站审批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省广电局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市文化和旅游局、县级广电部门初审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《广播电视管理条例》</w:t>
            </w:r>
            <w:r>
              <w:rPr>
                <w:rFonts w:eastAsia="仿宋_GB2312"/>
                <w:kern w:val="0"/>
                <w:sz w:val="20"/>
                <w:szCs w:val="20"/>
              </w:rPr>
              <w:br w:type="textWrapping"/>
            </w:r>
            <w:r>
              <w:rPr>
                <w:rFonts w:eastAsia="仿宋_GB2312"/>
                <w:kern w:val="0"/>
                <w:sz w:val="20"/>
                <w:szCs w:val="20"/>
              </w:rPr>
              <w:t>《广播电视站审批管理暂行规定》（国家广播电影电视总局令第32号）</w:t>
            </w:r>
          </w:p>
        </w:tc>
      </w:tr>
      <w:tr>
        <w:tblPrEx>
          <w:tblCellMar>
            <w:top w:w="0" w:type="dxa"/>
            <w:left w:w="108" w:type="dxa"/>
            <w:bottom w:w="0" w:type="dxa"/>
            <w:right w:w="108" w:type="dxa"/>
          </w:tblCellMar>
        </w:tblPrEx>
        <w:trPr>
          <w:trHeight w:val="69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426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有线广播电视传输覆盖网工程验收审核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省广电局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市文化和旅游局、县级广电部门初审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《广播电视管理条例》</w:t>
            </w:r>
          </w:p>
        </w:tc>
      </w:tr>
      <w:tr>
        <w:tblPrEx>
          <w:tblCellMar>
            <w:top w:w="0" w:type="dxa"/>
            <w:left w:w="108" w:type="dxa"/>
            <w:bottom w:w="0" w:type="dxa"/>
            <w:right w:w="108" w:type="dxa"/>
          </w:tblCellMar>
        </w:tblPrEx>
        <w:trPr>
          <w:trHeight w:val="154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431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卫星电视广播地面接收设施</w:t>
            </w:r>
          </w:p>
          <w:p>
            <w:pPr>
              <w:widowControl/>
              <w:spacing w:line="280" w:lineRule="exact"/>
              <w:jc w:val="left"/>
              <w:textAlignment w:val="center"/>
              <w:rPr>
                <w:rFonts w:eastAsia="仿宋_GB2312"/>
                <w:sz w:val="20"/>
                <w:szCs w:val="20"/>
              </w:rPr>
            </w:pPr>
            <w:r>
              <w:rPr>
                <w:rFonts w:eastAsia="仿宋_GB2312"/>
                <w:kern w:val="0"/>
                <w:sz w:val="20"/>
                <w:szCs w:val="20"/>
              </w:rPr>
              <w:t>安装服务许可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省广电局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市文化和旅游局、县级广电部门初审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《卫星电视广播地面接收设施管理规定》</w:t>
            </w:r>
            <w:r>
              <w:rPr>
                <w:rFonts w:eastAsia="仿宋_GB2312"/>
                <w:kern w:val="0"/>
                <w:sz w:val="20"/>
                <w:szCs w:val="20"/>
              </w:rPr>
              <w:br w:type="textWrapping"/>
            </w:r>
            <w:r>
              <w:rPr>
                <w:rFonts w:eastAsia="仿宋_GB2312"/>
                <w:kern w:val="0"/>
                <w:sz w:val="20"/>
                <w:szCs w:val="20"/>
              </w:rPr>
              <w:t>《卫星电视广播地面接收设施安装服务暂行办法》（国家广播电影电视总局令第60号）</w:t>
            </w:r>
            <w:r>
              <w:rPr>
                <w:rFonts w:eastAsia="仿宋_GB2312"/>
                <w:kern w:val="0"/>
                <w:sz w:val="20"/>
                <w:szCs w:val="20"/>
              </w:rPr>
              <w:br w:type="textWrapping"/>
            </w:r>
            <w:r>
              <w:rPr>
                <w:rFonts w:eastAsia="仿宋_GB2312"/>
                <w:kern w:val="0"/>
                <w:sz w:val="20"/>
                <w:szCs w:val="20"/>
              </w:rPr>
              <w:t>《广电总局关于设立卫星地面接收设施安装服务机构审批事项的通知》（广发〔2010〕24号）</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432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设置卫星电视广播地面接收</w:t>
            </w:r>
          </w:p>
          <w:p>
            <w:pPr>
              <w:widowControl/>
              <w:spacing w:line="280" w:lineRule="exact"/>
              <w:jc w:val="left"/>
              <w:textAlignment w:val="center"/>
              <w:rPr>
                <w:rFonts w:eastAsia="仿宋_GB2312"/>
                <w:sz w:val="20"/>
                <w:szCs w:val="20"/>
              </w:rPr>
            </w:pPr>
            <w:r>
              <w:rPr>
                <w:rFonts w:eastAsia="仿宋_GB2312"/>
                <w:kern w:val="0"/>
                <w:sz w:val="20"/>
                <w:szCs w:val="20"/>
              </w:rPr>
              <w:t>设施审批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省广电局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市文化和旅游局、县级广电部门初审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《广播电视管理条例》</w:t>
            </w:r>
            <w:r>
              <w:rPr>
                <w:rFonts w:eastAsia="仿宋_GB2312"/>
                <w:kern w:val="0"/>
                <w:sz w:val="20"/>
                <w:szCs w:val="20"/>
              </w:rPr>
              <w:br w:type="textWrapping"/>
            </w:r>
            <w:r>
              <w:rPr>
                <w:rFonts w:eastAsia="仿宋_GB2312"/>
                <w:kern w:val="0"/>
                <w:sz w:val="20"/>
                <w:szCs w:val="20"/>
              </w:rPr>
              <w:t>《卫星电视广播地面接收设施管理规定》</w:t>
            </w:r>
          </w:p>
        </w:tc>
      </w:tr>
      <w:tr>
        <w:tblPrEx>
          <w:tblCellMar>
            <w:top w:w="0" w:type="dxa"/>
            <w:left w:w="108" w:type="dxa"/>
            <w:bottom w:w="0" w:type="dxa"/>
            <w:right w:w="108" w:type="dxa"/>
          </w:tblCellMar>
        </w:tblPrEx>
        <w:trPr>
          <w:trHeight w:val="71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239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435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举办健身气功活动及设立站点审批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省体育局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《健身气功管理办法》（体育总局令2006年第9号）</w:t>
            </w:r>
          </w:p>
        </w:tc>
      </w:tr>
      <w:tr>
        <w:tblPrEx>
          <w:tblCellMar>
            <w:top w:w="0" w:type="dxa"/>
            <w:left w:w="108" w:type="dxa"/>
            <w:bottom w:w="0" w:type="dxa"/>
            <w:right w:w="108" w:type="dxa"/>
          </w:tblCellMar>
        </w:tblPrEx>
        <w:trPr>
          <w:trHeight w:val="69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437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高危险性体育项目经营许可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省体育局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市行政审批服务管理局、县体育部门或审批局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《全民健身条例》</w:t>
            </w:r>
          </w:p>
        </w:tc>
      </w:tr>
      <w:tr>
        <w:tblPrEx>
          <w:tblCellMar>
            <w:top w:w="0" w:type="dxa"/>
            <w:left w:w="108" w:type="dxa"/>
            <w:bottom w:w="0" w:type="dxa"/>
            <w:right w:w="108" w:type="dxa"/>
          </w:tblCellMar>
        </w:tblPrEx>
        <w:trPr>
          <w:trHeight w:val="7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438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临时占用公共体育设施审批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省体育局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市行政审批服务管理局、县体育部门或审批局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《中华人民共和国体育法》</w:t>
            </w:r>
          </w:p>
        </w:tc>
      </w:tr>
      <w:tr>
        <w:tblPrEx>
          <w:tblCellMar>
            <w:top w:w="0" w:type="dxa"/>
            <w:left w:w="108" w:type="dxa"/>
            <w:bottom w:w="0" w:type="dxa"/>
            <w:right w:w="108" w:type="dxa"/>
          </w:tblCellMar>
        </w:tblPrEx>
        <w:trPr>
          <w:trHeight w:val="98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固定资产投资项目节能审查</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省能源局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《中华人民共和国节约能源法》</w:t>
            </w:r>
            <w:r>
              <w:rPr>
                <w:rFonts w:eastAsia="仿宋_GB2312"/>
                <w:kern w:val="0"/>
                <w:sz w:val="20"/>
                <w:szCs w:val="20"/>
              </w:rPr>
              <w:br w:type="textWrapping"/>
            </w:r>
            <w:r>
              <w:rPr>
                <w:rFonts w:eastAsia="仿宋_GB2312"/>
                <w:kern w:val="0"/>
                <w:sz w:val="20"/>
                <w:szCs w:val="20"/>
              </w:rPr>
              <w:t>《固定资产投资项目节能审查办法》（国家发展改革委令2016年第44号)</w:t>
            </w:r>
          </w:p>
        </w:tc>
      </w:tr>
      <w:tr>
        <w:tblPrEx>
          <w:tblCellMar>
            <w:top w:w="0" w:type="dxa"/>
            <w:left w:w="108" w:type="dxa"/>
            <w:bottom w:w="0" w:type="dxa"/>
            <w:right w:w="108" w:type="dxa"/>
          </w:tblCellMar>
        </w:tblPrEx>
        <w:trPr>
          <w:trHeight w:val="126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在电力设施周围或者电力设施保护区内进行可能危及电力</w:t>
            </w:r>
          </w:p>
          <w:p>
            <w:pPr>
              <w:widowControl/>
              <w:spacing w:line="280" w:lineRule="exact"/>
              <w:jc w:val="left"/>
              <w:textAlignment w:val="center"/>
              <w:rPr>
                <w:rFonts w:eastAsia="仿宋_GB2312"/>
                <w:sz w:val="20"/>
                <w:szCs w:val="20"/>
              </w:rPr>
            </w:pPr>
            <w:r>
              <w:rPr>
                <w:rFonts w:eastAsia="仿宋_GB2312"/>
                <w:kern w:val="0"/>
                <w:sz w:val="20"/>
                <w:szCs w:val="20"/>
              </w:rPr>
              <w:t>设施安全作业审批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省能源局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《中华人民共和国电力法》</w:t>
            </w:r>
            <w:r>
              <w:rPr>
                <w:rFonts w:eastAsia="仿宋_GB2312"/>
                <w:kern w:val="0"/>
                <w:sz w:val="20"/>
                <w:szCs w:val="20"/>
              </w:rPr>
              <w:br w:type="textWrapping"/>
            </w:r>
            <w:r>
              <w:rPr>
                <w:rFonts w:eastAsia="仿宋_GB2312"/>
                <w:kern w:val="0"/>
                <w:sz w:val="20"/>
                <w:szCs w:val="20"/>
              </w:rPr>
              <w:t>《电力设施保护条例》</w:t>
            </w:r>
          </w:p>
        </w:tc>
      </w:tr>
      <w:tr>
        <w:tblPrEx>
          <w:tblCellMar>
            <w:top w:w="0" w:type="dxa"/>
            <w:left w:w="108" w:type="dxa"/>
            <w:bottom w:w="0" w:type="dxa"/>
            <w:right w:w="108" w:type="dxa"/>
          </w:tblCellMar>
        </w:tblPrEx>
        <w:trPr>
          <w:trHeight w:val="69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煤矿建设项目设计文件审批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省能源局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《中华人民共和国矿山安全法》</w:t>
            </w:r>
            <w:r>
              <w:rPr>
                <w:rFonts w:eastAsia="仿宋_GB2312"/>
                <w:kern w:val="0"/>
                <w:sz w:val="20"/>
                <w:szCs w:val="20"/>
              </w:rPr>
              <w:br w:type="textWrapping"/>
            </w:r>
            <w:r>
              <w:rPr>
                <w:rFonts w:eastAsia="仿宋_GB2312"/>
                <w:kern w:val="0"/>
                <w:sz w:val="20"/>
                <w:szCs w:val="20"/>
              </w:rPr>
              <w:t>《中华人民共和国矿产资源法实施细则》</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固定资产投资项目核准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省能源局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市政府（市行政审批服务管理局承办）、县级政府（县行政审批服务管理局承办）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《企业投资项目核准和备案管理条例》</w:t>
            </w:r>
            <w:r>
              <w:rPr>
                <w:rFonts w:eastAsia="仿宋_GB2312"/>
                <w:kern w:val="0"/>
                <w:sz w:val="20"/>
                <w:szCs w:val="20"/>
              </w:rPr>
              <w:br w:type="textWrapping"/>
            </w:r>
            <w:r>
              <w:rPr>
                <w:rFonts w:eastAsia="仿宋_GB2312"/>
                <w:kern w:val="0"/>
                <w:sz w:val="20"/>
                <w:szCs w:val="20"/>
              </w:rPr>
              <w:t>《国务院关于发布政府核准的投资项目目录（2016年本）的通知》（国发〔2016〕72号）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新建不能满足管道保护要求的石油天然气管道防护方案审批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省能源局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市能源局、县级</w:t>
            </w:r>
            <w:r>
              <w:rPr>
                <w:rFonts w:eastAsia="仿宋_GB2312"/>
                <w:kern w:val="0"/>
                <w:sz w:val="20"/>
                <w:szCs w:val="20"/>
              </w:rPr>
              <w:br w:type="textWrapping"/>
            </w:r>
            <w:r>
              <w:rPr>
                <w:rFonts w:eastAsia="仿宋_GB2312"/>
                <w:kern w:val="0"/>
                <w:sz w:val="20"/>
                <w:szCs w:val="20"/>
              </w:rPr>
              <w:t>管道保护主管部门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《中华人民共和国石油天然气管道保护法》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449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可能影响石油天然气管道保护的施工作业审批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省能源局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县级管道保护主管部门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《中华人民共和国石油天然气管道保护法》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452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建设工程文物保护许可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省文物局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市政府（市行政审批服务管理局承办）、县级政府（县行政审批服务管理局承办）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《中华人民共和国文物保护法》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249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453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文物保护单位原址保护措施</w:t>
            </w:r>
          </w:p>
          <w:p>
            <w:pPr>
              <w:widowControl/>
              <w:spacing w:line="280" w:lineRule="exact"/>
              <w:jc w:val="left"/>
              <w:textAlignment w:val="center"/>
              <w:rPr>
                <w:rFonts w:eastAsia="仿宋_GB2312"/>
                <w:sz w:val="20"/>
                <w:szCs w:val="20"/>
              </w:rPr>
            </w:pPr>
            <w:r>
              <w:rPr>
                <w:rFonts w:eastAsia="仿宋_GB2312"/>
                <w:kern w:val="0"/>
                <w:sz w:val="20"/>
                <w:szCs w:val="20"/>
              </w:rPr>
              <w:t>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省文物局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《中华人民共和国文物保护法》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455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核定为文物保护单位的属于国家所有的纪念建筑物或者古</w:t>
            </w:r>
          </w:p>
          <w:p>
            <w:pPr>
              <w:widowControl/>
              <w:spacing w:line="280" w:lineRule="exact"/>
              <w:jc w:val="left"/>
              <w:textAlignment w:val="center"/>
              <w:rPr>
                <w:rFonts w:eastAsia="仿宋_GB2312"/>
                <w:sz w:val="20"/>
                <w:szCs w:val="20"/>
              </w:rPr>
            </w:pPr>
            <w:r>
              <w:rPr>
                <w:rFonts w:eastAsia="仿宋_GB2312"/>
                <w:kern w:val="0"/>
                <w:sz w:val="20"/>
                <w:szCs w:val="20"/>
              </w:rPr>
              <w:t>建筑改变用途审批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省文物局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市文化和旅游局、县级政府（文物</w:t>
            </w:r>
            <w:r>
              <w:rPr>
                <w:rFonts w:eastAsia="仿宋_GB2312"/>
                <w:kern w:val="0"/>
                <w:sz w:val="20"/>
                <w:szCs w:val="20"/>
              </w:rPr>
              <w:br w:type="textWrapping"/>
            </w:r>
            <w:r>
              <w:rPr>
                <w:rFonts w:eastAsia="仿宋_GB2312"/>
                <w:kern w:val="0"/>
                <w:sz w:val="20"/>
                <w:szCs w:val="20"/>
              </w:rPr>
              <w:t>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《中华人民共和国文物保护法》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456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不可移动文物修缮审批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省文物局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《中华人民共和国文物保护法》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462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非国有文物收藏单位和其他单位借用国有馆藏文物审批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省文物局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市文化和旅游局、县级政府（文物</w:t>
            </w:r>
            <w:r>
              <w:rPr>
                <w:rFonts w:eastAsia="仿宋_GB2312"/>
                <w:kern w:val="0"/>
                <w:sz w:val="20"/>
                <w:szCs w:val="20"/>
              </w:rPr>
              <w:br w:type="textWrapping"/>
            </w:r>
            <w:r>
              <w:rPr>
                <w:rFonts w:eastAsia="仿宋_GB2312"/>
                <w:kern w:val="0"/>
                <w:sz w:val="20"/>
                <w:szCs w:val="20"/>
              </w:rPr>
              <w:t>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《中华人民共和国文物保护法》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467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博物馆处理不够入藏标准、无保存价值的文物或标本审批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省文物局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市文化和旅游局、县级政府（文物</w:t>
            </w:r>
            <w:r>
              <w:rPr>
                <w:rFonts w:eastAsia="仿宋_GB2312"/>
                <w:kern w:val="0"/>
                <w:sz w:val="20"/>
                <w:szCs w:val="20"/>
              </w:rPr>
              <w:br w:type="textWrapping"/>
            </w:r>
            <w:r>
              <w:rPr>
                <w:rFonts w:eastAsia="仿宋_GB2312"/>
                <w:kern w:val="0"/>
                <w:sz w:val="20"/>
                <w:szCs w:val="20"/>
              </w:rPr>
              <w:t>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应建防空地下室的民用建筑</w:t>
            </w:r>
          </w:p>
          <w:p>
            <w:pPr>
              <w:widowControl/>
              <w:spacing w:line="280" w:lineRule="exact"/>
              <w:jc w:val="left"/>
              <w:textAlignment w:val="center"/>
              <w:rPr>
                <w:rFonts w:eastAsia="仿宋_GB2312"/>
                <w:sz w:val="20"/>
                <w:szCs w:val="20"/>
              </w:rPr>
            </w:pPr>
            <w:r>
              <w:rPr>
                <w:rFonts w:eastAsia="仿宋_GB2312"/>
                <w:kern w:val="0"/>
                <w:sz w:val="20"/>
                <w:szCs w:val="20"/>
              </w:rPr>
              <w:t>项目报建审批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省人防办</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《中共中央国务院中央军委关于加强人民防空工作的决定》</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拆除人民防空工程审批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省人防办</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《中华人民共和国人民防空法》</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林草种子生产经营许可证核发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《中华人民共和国种子法》</w:t>
            </w:r>
          </w:p>
        </w:tc>
      </w:tr>
      <w:tr>
        <w:tblPrEx>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林草植物检疫证书核发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市规划和自然资源局、县级林草部门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《植物检疫条例》</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建设项目使用林地及在森林和野生动物类型国家级自然保护区建设审批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市规划和自然资源局、县级林草部门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《中华人民共和国森林法》</w:t>
            </w:r>
            <w:r>
              <w:rPr>
                <w:rFonts w:eastAsia="仿宋_GB2312"/>
                <w:kern w:val="0"/>
                <w:sz w:val="20"/>
                <w:szCs w:val="20"/>
              </w:rPr>
              <w:br w:type="textWrapping"/>
            </w:r>
            <w:r>
              <w:rPr>
                <w:rFonts w:eastAsia="仿宋_GB2312"/>
                <w:kern w:val="0"/>
                <w:sz w:val="20"/>
                <w:szCs w:val="20"/>
              </w:rPr>
              <w:t>《中华人民共和国森林法实施条例》</w:t>
            </w:r>
            <w:r>
              <w:rPr>
                <w:rFonts w:eastAsia="仿宋_GB2312"/>
                <w:kern w:val="0"/>
                <w:sz w:val="20"/>
                <w:szCs w:val="20"/>
              </w:rPr>
              <w:br w:type="textWrapping"/>
            </w:r>
            <w:r>
              <w:rPr>
                <w:rFonts w:eastAsia="仿宋_GB2312"/>
                <w:kern w:val="0"/>
                <w:sz w:val="20"/>
                <w:szCs w:val="20"/>
              </w:rPr>
              <w:t>《森林和野生动物类型自然保护区管理办法》</w:t>
            </w:r>
          </w:p>
        </w:tc>
      </w:tr>
      <w:tr>
        <w:tblPrEx>
          <w:tblCellMar>
            <w:top w:w="0" w:type="dxa"/>
            <w:left w:w="108" w:type="dxa"/>
            <w:bottom w:w="0" w:type="dxa"/>
            <w:right w:w="108" w:type="dxa"/>
          </w:tblCellMar>
        </w:tblPrEx>
        <w:trPr>
          <w:trHeight w:val="27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259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479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建设项目使用草原审批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市规划和自然资源局、县级林草部门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《中华人民共和国草原法》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480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林木采伐许可证核发</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《中华人民共和国森林法》</w:t>
            </w:r>
            <w:r>
              <w:rPr>
                <w:rFonts w:eastAsia="仿宋_GB2312"/>
                <w:kern w:val="0"/>
                <w:sz w:val="20"/>
                <w:szCs w:val="20"/>
              </w:rPr>
              <w:br w:type="textWrapping"/>
            </w:r>
            <w:r>
              <w:rPr>
                <w:rFonts w:eastAsia="仿宋_GB2312"/>
                <w:kern w:val="0"/>
                <w:sz w:val="20"/>
                <w:szCs w:val="20"/>
              </w:rPr>
              <w:t>《中华人民共和国森林法实施条例》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481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从事营利性治沙活动许可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市规划和自然资源局、县级林草部门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《中华人民共和国防沙治沙法》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483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在风景名胜区内从事建设、设置广告、举办大型游乐活动以及其他影响生态和景观活动</w:t>
            </w:r>
          </w:p>
          <w:p>
            <w:pPr>
              <w:widowControl/>
              <w:spacing w:line="280" w:lineRule="exact"/>
              <w:jc w:val="left"/>
              <w:textAlignment w:val="center"/>
              <w:rPr>
                <w:rFonts w:eastAsia="仿宋_GB2312"/>
                <w:sz w:val="20"/>
                <w:szCs w:val="20"/>
              </w:rPr>
            </w:pPr>
            <w:r>
              <w:rPr>
                <w:rFonts w:eastAsia="仿宋_GB2312"/>
                <w:kern w:val="0"/>
                <w:sz w:val="20"/>
                <w:szCs w:val="20"/>
              </w:rPr>
              <w:t>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县级以上政府设置的风景名胜区管理机构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《风景名胜区条例》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484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进入自然保护区从事有关活动审批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自然保护区管理机构</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《中华人民共和国自然保护区条例》</w:t>
            </w:r>
            <w:r>
              <w:rPr>
                <w:rFonts w:eastAsia="仿宋_GB2312"/>
                <w:kern w:val="0"/>
                <w:sz w:val="20"/>
                <w:szCs w:val="20"/>
              </w:rPr>
              <w:br w:type="textWrapping"/>
            </w:r>
            <w:r>
              <w:rPr>
                <w:rFonts w:eastAsia="仿宋_GB2312"/>
                <w:kern w:val="0"/>
                <w:sz w:val="20"/>
                <w:szCs w:val="20"/>
              </w:rPr>
              <w:t>《森林和野生动物类型自然保护区管理办法》</w:t>
            </w:r>
          </w:p>
        </w:tc>
      </w:tr>
      <w:tr>
        <w:tblPrEx>
          <w:tblCellMar>
            <w:top w:w="0" w:type="dxa"/>
            <w:left w:w="108" w:type="dxa"/>
            <w:bottom w:w="0" w:type="dxa"/>
            <w:right w:w="108" w:type="dxa"/>
          </w:tblCellMar>
        </w:tblPrEx>
        <w:trPr>
          <w:trHeight w:val="76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264</w:t>
            </w:r>
          </w:p>
        </w:tc>
        <w:tc>
          <w:tcPr>
            <w:tcW w:w="1265" w:type="dxa"/>
            <w:gridSpan w:val="2"/>
            <w:tcBorders>
              <w:top w:val="single" w:color="000000" w:sz="4" w:space="0"/>
              <w:left w:val="single" w:color="000000" w:sz="4" w:space="0"/>
              <w:bottom w:val="nil"/>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485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猎捕陆生野生动物审批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《中华人民共和国野生动物保护法》</w:t>
            </w:r>
            <w:r>
              <w:rPr>
                <w:rFonts w:eastAsia="仿宋_GB2312"/>
                <w:kern w:val="0"/>
                <w:sz w:val="20"/>
                <w:szCs w:val="20"/>
              </w:rPr>
              <w:br w:type="textWrapping"/>
            </w:r>
            <w:r>
              <w:rPr>
                <w:rFonts w:eastAsia="仿宋_GB2312"/>
                <w:kern w:val="0"/>
                <w:sz w:val="20"/>
                <w:szCs w:val="20"/>
              </w:rPr>
              <w:t>《中华人民共和国陆生野生动物保护实施条例》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491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森林草原防火期内在森林草原</w:t>
            </w:r>
            <w:r>
              <w:rPr>
                <w:rFonts w:eastAsia="仿宋_GB2312"/>
                <w:kern w:val="0"/>
                <w:sz w:val="20"/>
                <w:szCs w:val="20"/>
              </w:rPr>
              <w:br w:type="textWrapping"/>
            </w:r>
            <w:r>
              <w:rPr>
                <w:rFonts w:eastAsia="仿宋_GB2312"/>
                <w:kern w:val="0"/>
                <w:sz w:val="20"/>
                <w:szCs w:val="20"/>
              </w:rPr>
              <w:t>防火区野外用火审批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县级政府（由林草部门承办）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《森林防火条例》</w:t>
            </w:r>
            <w:r>
              <w:rPr>
                <w:rFonts w:eastAsia="仿宋_GB2312"/>
                <w:kern w:val="0"/>
                <w:sz w:val="20"/>
                <w:szCs w:val="20"/>
              </w:rPr>
              <w:br w:type="textWrapping"/>
            </w:r>
            <w:r>
              <w:rPr>
                <w:rFonts w:eastAsia="仿宋_GB2312"/>
                <w:kern w:val="0"/>
                <w:sz w:val="20"/>
                <w:szCs w:val="20"/>
              </w:rPr>
              <w:t>《草原防火条例》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492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森林草原防火期内在森林草原</w:t>
            </w:r>
            <w:r>
              <w:rPr>
                <w:rFonts w:eastAsia="仿宋_GB2312"/>
                <w:kern w:val="0"/>
                <w:sz w:val="20"/>
                <w:szCs w:val="20"/>
              </w:rPr>
              <w:br w:type="textWrapping"/>
            </w:r>
            <w:r>
              <w:rPr>
                <w:rFonts w:eastAsia="仿宋_GB2312"/>
                <w:spacing w:val="-6"/>
                <w:kern w:val="0"/>
                <w:sz w:val="20"/>
                <w:szCs w:val="20"/>
              </w:rPr>
              <w:t>防火区爆破、勘察和施工等</w:t>
            </w:r>
          </w:p>
          <w:p>
            <w:pPr>
              <w:widowControl/>
              <w:spacing w:line="280" w:lineRule="exact"/>
              <w:jc w:val="left"/>
              <w:textAlignment w:val="center"/>
              <w:rPr>
                <w:rFonts w:eastAsia="仿宋_GB2312"/>
                <w:sz w:val="20"/>
                <w:szCs w:val="20"/>
              </w:rPr>
            </w:pPr>
            <w:r>
              <w:rPr>
                <w:rFonts w:eastAsia="仿宋_GB2312"/>
                <w:kern w:val="0"/>
                <w:sz w:val="20"/>
                <w:szCs w:val="20"/>
              </w:rPr>
              <w:t>活动审批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市规划和自然资源局、县级林草部门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《森林防火条例》</w:t>
            </w:r>
            <w:r>
              <w:rPr>
                <w:rFonts w:eastAsia="仿宋_GB2312"/>
                <w:kern w:val="0"/>
                <w:sz w:val="20"/>
                <w:szCs w:val="20"/>
              </w:rPr>
              <w:br w:type="textWrapping"/>
            </w:r>
            <w:r>
              <w:rPr>
                <w:rFonts w:eastAsia="仿宋_GB2312"/>
                <w:kern w:val="0"/>
                <w:sz w:val="20"/>
                <w:szCs w:val="20"/>
              </w:rPr>
              <w:t>《草原防火条例》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493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进入森林高火险区、草原防火</w:t>
            </w:r>
            <w:r>
              <w:rPr>
                <w:rFonts w:eastAsia="仿宋_GB2312"/>
                <w:kern w:val="0"/>
                <w:sz w:val="20"/>
                <w:szCs w:val="20"/>
              </w:rPr>
              <w:br w:type="textWrapping"/>
            </w:r>
            <w:r>
              <w:rPr>
                <w:rFonts w:eastAsia="仿宋_GB2312"/>
                <w:kern w:val="0"/>
                <w:sz w:val="20"/>
                <w:szCs w:val="20"/>
              </w:rPr>
              <w:t>管制区审批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市、县级政府（林草部门承办）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《森林防火条例》</w:t>
            </w:r>
            <w:r>
              <w:rPr>
                <w:rFonts w:eastAsia="仿宋_GB2312"/>
                <w:kern w:val="0"/>
                <w:sz w:val="20"/>
                <w:szCs w:val="20"/>
              </w:rPr>
              <w:br w:type="textWrapping"/>
            </w:r>
            <w:r>
              <w:rPr>
                <w:rFonts w:eastAsia="仿宋_GB2312"/>
                <w:kern w:val="0"/>
                <w:sz w:val="20"/>
                <w:szCs w:val="20"/>
              </w:rPr>
              <w:t>《草原防火条例》</w:t>
            </w:r>
          </w:p>
        </w:tc>
      </w:tr>
      <w:tr>
        <w:tblPrEx>
          <w:tblCellMar>
            <w:top w:w="0" w:type="dxa"/>
            <w:left w:w="108" w:type="dxa"/>
            <w:bottom w:w="0" w:type="dxa"/>
            <w:right w:w="108" w:type="dxa"/>
          </w:tblCellMar>
        </w:tblPrEx>
        <w:trPr>
          <w:trHeight w:val="98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494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工商企业等社会资本通过流转取得林地经营权审批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省林草局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市、县级政府（林草部门承办）</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《中华人民共和国农村土地承包法》</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269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499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药品零售企业筹建审批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w:t>
            </w:r>
            <w:r>
              <w:rPr>
                <w:rFonts w:eastAsia="仿宋_GB2312"/>
                <w:kern w:val="0"/>
                <w:sz w:val="20"/>
                <w:szCs w:val="20"/>
              </w:rPr>
              <w:br w:type="textWrapping"/>
            </w:r>
            <w:r>
              <w:rPr>
                <w:rFonts w:eastAsia="仿宋_GB2312"/>
                <w:kern w:val="0"/>
                <w:sz w:val="20"/>
                <w:szCs w:val="20"/>
              </w:rPr>
              <w:t>药监部门或审批服务管理部门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《中华人民共和国药品管理法》</w:t>
            </w:r>
            <w:r>
              <w:rPr>
                <w:rFonts w:eastAsia="仿宋_GB2312"/>
                <w:kern w:val="0"/>
                <w:sz w:val="20"/>
                <w:szCs w:val="20"/>
              </w:rPr>
              <w:br w:type="textWrapping"/>
            </w:r>
            <w:r>
              <w:rPr>
                <w:rFonts w:eastAsia="仿宋_GB2312"/>
                <w:kern w:val="0"/>
                <w:sz w:val="20"/>
                <w:szCs w:val="20"/>
              </w:rPr>
              <w:t>《中华人民共和国药品管理法实施条例》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500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药品零售企业经营许可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市行政审批服务管理局、县级</w:t>
            </w:r>
            <w:r>
              <w:rPr>
                <w:rFonts w:eastAsia="仿宋_GB2312"/>
                <w:kern w:val="0"/>
                <w:sz w:val="20"/>
                <w:szCs w:val="20"/>
              </w:rPr>
              <w:br w:type="textWrapping"/>
            </w:r>
            <w:r>
              <w:rPr>
                <w:rFonts w:eastAsia="仿宋_GB2312"/>
                <w:kern w:val="0"/>
                <w:sz w:val="20"/>
                <w:szCs w:val="20"/>
              </w:rPr>
              <w:t>药监部门或审批服务管理部门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《中华人民共和国药品管理法》</w:t>
            </w:r>
            <w:r>
              <w:rPr>
                <w:rFonts w:eastAsia="仿宋_GB2312"/>
                <w:kern w:val="0"/>
                <w:sz w:val="20"/>
                <w:szCs w:val="20"/>
              </w:rPr>
              <w:br w:type="textWrapping"/>
            </w:r>
            <w:r>
              <w:rPr>
                <w:rFonts w:eastAsia="仿宋_GB2312"/>
                <w:kern w:val="0"/>
                <w:sz w:val="20"/>
                <w:szCs w:val="20"/>
              </w:rPr>
              <w:t>《中华人民共和国药品管理法实施条例》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507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第二类精神药品零售业务审批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《中华人民共和国禁毒法》</w:t>
            </w:r>
            <w:r>
              <w:rPr>
                <w:rFonts w:eastAsia="仿宋_GB2312"/>
                <w:kern w:val="0"/>
                <w:sz w:val="20"/>
                <w:szCs w:val="20"/>
              </w:rPr>
              <w:br w:type="textWrapping"/>
            </w:r>
            <w:r>
              <w:rPr>
                <w:rFonts w:eastAsia="仿宋_GB2312"/>
                <w:kern w:val="0"/>
                <w:sz w:val="20"/>
                <w:szCs w:val="20"/>
              </w:rPr>
              <w:t>《麻醉药品和精神药品管理条例》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511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麻醉药品、第一类精神药品</w:t>
            </w:r>
          </w:p>
          <w:p>
            <w:pPr>
              <w:widowControl/>
              <w:spacing w:line="280" w:lineRule="exact"/>
              <w:jc w:val="left"/>
              <w:textAlignment w:val="center"/>
              <w:rPr>
                <w:rFonts w:eastAsia="仿宋_GB2312"/>
                <w:sz w:val="20"/>
                <w:szCs w:val="20"/>
              </w:rPr>
            </w:pPr>
            <w:r>
              <w:rPr>
                <w:rFonts w:eastAsia="仿宋_GB2312"/>
                <w:kern w:val="0"/>
                <w:sz w:val="20"/>
                <w:szCs w:val="20"/>
              </w:rPr>
              <w:t>运输许可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《中华人民共和国禁毒法》</w:t>
            </w:r>
            <w:r>
              <w:rPr>
                <w:rFonts w:eastAsia="仿宋_GB2312"/>
                <w:kern w:val="0"/>
                <w:sz w:val="20"/>
                <w:szCs w:val="20"/>
              </w:rPr>
              <w:br w:type="textWrapping"/>
            </w:r>
            <w:r>
              <w:rPr>
                <w:rFonts w:eastAsia="仿宋_GB2312"/>
                <w:kern w:val="0"/>
                <w:sz w:val="20"/>
                <w:szCs w:val="20"/>
              </w:rPr>
              <w:t>《麻醉药品和精神药品管理条例》</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512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麻醉药品、精神药品邮寄许可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《中华人民共和国禁毒法》</w:t>
            </w:r>
            <w:r>
              <w:rPr>
                <w:rFonts w:eastAsia="仿宋_GB2312"/>
                <w:kern w:val="0"/>
                <w:sz w:val="20"/>
                <w:szCs w:val="20"/>
              </w:rPr>
              <w:br w:type="textWrapping"/>
            </w:r>
            <w:r>
              <w:rPr>
                <w:rFonts w:eastAsia="仿宋_GB2312"/>
                <w:kern w:val="0"/>
                <w:sz w:val="20"/>
                <w:szCs w:val="20"/>
              </w:rPr>
              <w:t>《麻醉药品和精神药品管理条例》</w:t>
            </w:r>
          </w:p>
        </w:tc>
      </w:tr>
      <w:tr>
        <w:tblPrEx>
          <w:tblCellMar>
            <w:top w:w="0" w:type="dxa"/>
            <w:left w:w="108" w:type="dxa"/>
            <w:bottom w:w="0" w:type="dxa"/>
            <w:right w:w="108" w:type="dxa"/>
          </w:tblCellMar>
        </w:tblPrEx>
        <w:trPr>
          <w:trHeight w:val="66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515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医疗用毒性药品零售企业许可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《医疗用毒性药品管理办法》</w:t>
            </w:r>
          </w:p>
        </w:tc>
      </w:tr>
      <w:tr>
        <w:tblPrEx>
          <w:tblCellMar>
            <w:top w:w="0" w:type="dxa"/>
            <w:left w:w="108" w:type="dxa"/>
            <w:bottom w:w="0" w:type="dxa"/>
            <w:right w:w="108" w:type="dxa"/>
          </w:tblCellMar>
        </w:tblPrEx>
        <w:trPr>
          <w:trHeight w:val="94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516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科研和教学用毒性药品购买</w:t>
            </w:r>
          </w:p>
          <w:p>
            <w:pPr>
              <w:widowControl/>
              <w:spacing w:line="280" w:lineRule="exact"/>
              <w:jc w:val="left"/>
              <w:textAlignment w:val="center"/>
              <w:rPr>
                <w:rFonts w:eastAsia="仿宋_GB2312"/>
                <w:sz w:val="20"/>
                <w:szCs w:val="20"/>
              </w:rPr>
            </w:pPr>
            <w:r>
              <w:rPr>
                <w:rFonts w:eastAsia="仿宋_GB2312"/>
                <w:kern w:val="0"/>
                <w:sz w:val="20"/>
                <w:szCs w:val="20"/>
              </w:rPr>
              <w:t>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市市场监督管理局、县级药监部门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《医疗用毒性药品管理办法》</w:t>
            </w:r>
          </w:p>
        </w:tc>
      </w:tr>
      <w:tr>
        <w:tblPrEx>
          <w:tblCellMar>
            <w:top w:w="0" w:type="dxa"/>
            <w:left w:w="108" w:type="dxa"/>
            <w:bottom w:w="0" w:type="dxa"/>
            <w:right w:w="108" w:type="dxa"/>
          </w:tblCellMar>
        </w:tblPrEx>
        <w:trPr>
          <w:trHeight w:val="67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528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第三类医疗器械经营许可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省药监局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《医疗器械监督管理条例》</w:t>
            </w:r>
          </w:p>
        </w:tc>
      </w:tr>
      <w:tr>
        <w:tblPrEx>
          <w:tblCellMar>
            <w:top w:w="0" w:type="dxa"/>
            <w:left w:w="108" w:type="dxa"/>
            <w:bottom w:w="0" w:type="dxa"/>
            <w:right w:w="108" w:type="dxa"/>
          </w:tblCellMar>
        </w:tblPrEx>
        <w:trPr>
          <w:trHeight w:val="6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531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涉及国家安全事项的建设项目审批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省国家安全厅</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市国家安全局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《中华人民共和国国家安全法》</w:t>
            </w:r>
            <w:r>
              <w:rPr>
                <w:rFonts w:eastAsia="仿宋_GB2312"/>
                <w:kern w:val="0"/>
                <w:sz w:val="20"/>
                <w:szCs w:val="20"/>
              </w:rPr>
              <w:br w:type="textWrapping"/>
            </w: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534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延期移交档案审批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省档案局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市档案局、县级档案主管部门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《中华人民共和国档案法实施办法》</w:t>
            </w:r>
          </w:p>
        </w:tc>
      </w:tr>
      <w:tr>
        <w:tblPrEx>
          <w:tblCellMar>
            <w:top w:w="0" w:type="dxa"/>
            <w:left w:w="108" w:type="dxa"/>
            <w:bottom w:w="0" w:type="dxa"/>
            <w:right w:w="108" w:type="dxa"/>
          </w:tblCellMar>
        </w:tblPrEx>
        <w:trPr>
          <w:trHeight w:val="85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279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538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事业单位登记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省委编办</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市、县级事业单位登记机关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《事业单位登记管理暂行条例》</w:t>
            </w:r>
            <w:r>
              <w:rPr>
                <w:rFonts w:eastAsia="仿宋_GB2312"/>
                <w:kern w:val="0"/>
                <w:sz w:val="20"/>
                <w:szCs w:val="20"/>
              </w:rPr>
              <w:br w:type="textWrapping"/>
            </w:r>
            <w:r>
              <w:rPr>
                <w:rFonts w:eastAsia="仿宋_GB2312"/>
                <w:kern w:val="0"/>
                <w:sz w:val="20"/>
                <w:szCs w:val="20"/>
              </w:rPr>
              <w:t>《事业单位登记管理暂行条例实施细则》（中央编办发〔2014〕4号）</w:t>
            </w:r>
          </w:p>
        </w:tc>
      </w:tr>
      <w:tr>
        <w:tblPrEx>
          <w:tblCellMar>
            <w:top w:w="0" w:type="dxa"/>
            <w:left w:w="108" w:type="dxa"/>
            <w:bottom w:w="0" w:type="dxa"/>
            <w:right w:w="108" w:type="dxa"/>
          </w:tblCellMar>
        </w:tblPrEx>
        <w:trPr>
          <w:trHeight w:val="125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541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电影放映单位设立审批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省电影局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《中华人民共和国电影产业促进法》</w:t>
            </w:r>
            <w:r>
              <w:rPr>
                <w:rFonts w:eastAsia="仿宋_GB2312"/>
                <w:kern w:val="0"/>
                <w:sz w:val="20"/>
                <w:szCs w:val="20"/>
              </w:rPr>
              <w:br w:type="textWrapping"/>
            </w:r>
            <w:r>
              <w:rPr>
                <w:rFonts w:eastAsia="仿宋_GB2312"/>
                <w:kern w:val="0"/>
                <w:sz w:val="20"/>
                <w:szCs w:val="20"/>
              </w:rPr>
              <w:t>《电影管理条例》</w:t>
            </w:r>
            <w:r>
              <w:rPr>
                <w:rFonts w:eastAsia="仿宋_GB2312"/>
                <w:kern w:val="0"/>
                <w:sz w:val="20"/>
                <w:szCs w:val="20"/>
              </w:rPr>
              <w:br w:type="textWrapping"/>
            </w:r>
            <w:r>
              <w:rPr>
                <w:rFonts w:eastAsia="仿宋_GB2312"/>
                <w:kern w:val="0"/>
                <w:sz w:val="20"/>
                <w:szCs w:val="20"/>
              </w:rPr>
              <w:t>《外商投资电影院暂行规定》（国家广播电影电视总局、商务部、文化部令第21号）</w:t>
            </w:r>
          </w:p>
        </w:tc>
      </w:tr>
      <w:tr>
        <w:tblPrEx>
          <w:tblCellMar>
            <w:top w:w="0" w:type="dxa"/>
            <w:left w:w="108" w:type="dxa"/>
            <w:bottom w:w="0" w:type="dxa"/>
            <w:right w:w="108" w:type="dxa"/>
          </w:tblCellMar>
        </w:tblPrEx>
        <w:trPr>
          <w:trHeight w:val="69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554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出版物零售业务经营许可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省新闻出版局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县级新闻出版部门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《出版管理条例》</w:t>
            </w:r>
          </w:p>
        </w:tc>
      </w:tr>
      <w:tr>
        <w:tblPrEx>
          <w:tblCellMar>
            <w:top w:w="0" w:type="dxa"/>
            <w:left w:w="108" w:type="dxa"/>
            <w:bottom w:w="0" w:type="dxa"/>
            <w:right w:w="108" w:type="dxa"/>
          </w:tblCellMar>
        </w:tblPrEx>
        <w:trPr>
          <w:trHeight w:val="70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564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印刷企业设立、变更、兼并、合并、分立审批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省新闻出版局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市新闻出版局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《印刷业管理条例》</w:t>
            </w:r>
            <w:r>
              <w:rPr>
                <w:rFonts w:eastAsia="仿宋_GB2312"/>
                <w:kern w:val="0"/>
                <w:sz w:val="20"/>
                <w:szCs w:val="20"/>
              </w:rPr>
              <w:br w:type="textWrapping"/>
            </w:r>
            <w:r>
              <w:rPr>
                <w:rFonts w:eastAsia="仿宋_GB2312"/>
                <w:kern w:val="0"/>
                <w:sz w:val="20"/>
                <w:szCs w:val="20"/>
              </w:rPr>
              <w:t>《出版管理条例》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宗教教育培训活动许可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省宗教局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市委统战部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r>
              <w:rPr>
                <w:rFonts w:eastAsia="仿宋_GB2312"/>
                <w:kern w:val="0"/>
                <w:sz w:val="20"/>
                <w:szCs w:val="20"/>
              </w:rPr>
              <w:br w:type="textWrapping"/>
            </w:r>
            <w:r>
              <w:rPr>
                <w:rFonts w:eastAsia="仿宋_GB2312"/>
                <w:kern w:val="0"/>
                <w:sz w:val="20"/>
                <w:szCs w:val="20"/>
              </w:rPr>
              <w:t>《宗教事务部分行政许可项目实施办法》（国宗发〔2018〕11号）</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宗教活动场所筹备设立审批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省宗教局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省宗教局（由设区的市级、县级宗教部门初审），设区的市级宗教部门（由县级宗教部门初审）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宗教活动场所设立、变更、</w:t>
            </w:r>
          </w:p>
          <w:p>
            <w:pPr>
              <w:widowControl/>
              <w:spacing w:line="280" w:lineRule="exact"/>
              <w:jc w:val="left"/>
              <w:textAlignment w:val="center"/>
              <w:rPr>
                <w:rFonts w:eastAsia="仿宋_GB2312"/>
                <w:sz w:val="20"/>
                <w:szCs w:val="20"/>
              </w:rPr>
            </w:pPr>
            <w:r>
              <w:rPr>
                <w:rFonts w:eastAsia="仿宋_GB2312"/>
                <w:kern w:val="0"/>
                <w:sz w:val="20"/>
                <w:szCs w:val="20"/>
              </w:rPr>
              <w:t>注销登记</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省宗教局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县级宗教部门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宗教活动场所内改建或者新建</w:t>
            </w:r>
            <w:r>
              <w:rPr>
                <w:rFonts w:eastAsia="仿宋_GB2312"/>
                <w:kern w:val="0"/>
                <w:sz w:val="20"/>
                <w:szCs w:val="20"/>
              </w:rPr>
              <w:br w:type="textWrapping"/>
            </w:r>
            <w:r>
              <w:rPr>
                <w:rFonts w:eastAsia="仿宋_GB2312"/>
                <w:kern w:val="0"/>
                <w:sz w:val="20"/>
                <w:szCs w:val="20"/>
              </w:rPr>
              <w:t>建筑物许可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省宗教局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省宗教局（市级、县级宗教部门初审），市委统战部（由县级宗教部门初审）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r>
              <w:rPr>
                <w:rFonts w:eastAsia="仿宋_GB2312"/>
                <w:kern w:val="0"/>
                <w:sz w:val="20"/>
                <w:szCs w:val="20"/>
              </w:rPr>
              <w:br w:type="textWrapping"/>
            </w:r>
            <w:r>
              <w:rPr>
                <w:rFonts w:eastAsia="仿宋_GB2312"/>
                <w:kern w:val="0"/>
                <w:sz w:val="20"/>
                <w:szCs w:val="20"/>
              </w:rPr>
              <w:t>《宗教事务部分行政许可项目实施办法》（国宗发〔2018〕11号）</w:t>
            </w:r>
          </w:p>
        </w:tc>
      </w:tr>
      <w:tr>
        <w:tblPrEx>
          <w:tblCellMar>
            <w:top w:w="0" w:type="dxa"/>
            <w:left w:w="108" w:type="dxa"/>
            <w:bottom w:w="0" w:type="dxa"/>
            <w:right w:w="108" w:type="dxa"/>
          </w:tblCellMar>
        </w:tblPrEx>
        <w:trPr>
          <w:trHeight w:val="39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宗教临时活动地点审批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省宗教局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县级宗教部门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p>
        </w:tc>
      </w:tr>
      <w:tr>
        <w:tblPrEx>
          <w:tblCellMar>
            <w:top w:w="0" w:type="dxa"/>
            <w:left w:w="108" w:type="dxa"/>
            <w:bottom w:w="0" w:type="dxa"/>
            <w:right w:w="108" w:type="dxa"/>
          </w:tblCellMar>
        </w:tblPrEx>
        <w:trPr>
          <w:trHeight w:val="39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577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大型宗教活动许可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省宗教局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市委统战部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289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宗教团体、宗教院校、宗教活动场所接受境外捐赠审批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省宗教局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市委统战部、县级宗教部门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《宗教事务条例》</w:t>
            </w:r>
            <w:r>
              <w:rPr>
                <w:rFonts w:eastAsia="仿宋_GB2312"/>
                <w:kern w:val="0"/>
                <w:sz w:val="20"/>
                <w:szCs w:val="20"/>
              </w:rPr>
              <w:br w:type="textWrapping"/>
            </w:r>
            <w:r>
              <w:rPr>
                <w:rFonts w:eastAsia="仿宋_GB2312"/>
                <w:kern w:val="0"/>
                <w:sz w:val="20"/>
                <w:szCs w:val="20"/>
              </w:rPr>
              <w:t>《宗教事务部分行政许可项目实施办法》（国宗发〔2018〕11号）</w:t>
            </w:r>
          </w:p>
        </w:tc>
      </w:tr>
      <w:tr>
        <w:tblPrEx>
          <w:tblCellMar>
            <w:top w:w="0" w:type="dxa"/>
            <w:left w:w="108" w:type="dxa"/>
            <w:bottom w:w="0" w:type="dxa"/>
            <w:right w:w="108" w:type="dxa"/>
          </w:tblCellMar>
        </w:tblPrEx>
        <w:trPr>
          <w:trHeight w:val="104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华侨回国定居审批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省侨办</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省侨办（市级、县级侨务部门初审），市委统战部（由县级侨务部门初审）</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《中华人民共和国出境入境管理法》</w:t>
            </w:r>
            <w:r>
              <w:rPr>
                <w:rFonts w:eastAsia="仿宋_GB2312"/>
                <w:kern w:val="0"/>
                <w:sz w:val="20"/>
                <w:szCs w:val="20"/>
              </w:rPr>
              <w:br w:type="textWrapping"/>
            </w:r>
            <w:r>
              <w:rPr>
                <w:rFonts w:eastAsia="仿宋_GB2312"/>
                <w:kern w:val="0"/>
                <w:sz w:val="20"/>
                <w:szCs w:val="20"/>
              </w:rPr>
              <w:t>《国务院侨办、公安部、外交部关于印发〈华侨回国定居办理工作规定〉的通知》（国侨发〔2013〕18号）</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增值税防伪税控系统最高开票限额审批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省税务局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县级税务部门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雷电防护装置设计审核</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省气象局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《气象灾害防御条例》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雷电防护装置竣工验收</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省气象局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《气象灾害防御条例》</w:t>
            </w:r>
          </w:p>
        </w:tc>
      </w:tr>
      <w:tr>
        <w:tblPrEx>
          <w:tblCellMar>
            <w:top w:w="0" w:type="dxa"/>
            <w:left w:w="108" w:type="dxa"/>
            <w:bottom w:w="0" w:type="dxa"/>
            <w:right w:w="108" w:type="dxa"/>
          </w:tblCellMar>
        </w:tblPrEx>
        <w:trPr>
          <w:trHeight w:val="48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589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升放无人驾驶自由气球、系留气球单位资质认定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省气象局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升放无人驾驶自由气球或者系留气球活动审批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省气象局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市行政审批服务管理局，县行政审批服务管理局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《通用航空飞行管制条例》《国务院关于第六批取消和调整行政审批项目的决定》（国发〔2012〕52号）</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中资银行业金融机构及其分支机构设立、变更、终止以及</w:t>
            </w:r>
          </w:p>
          <w:p>
            <w:pPr>
              <w:widowControl/>
              <w:spacing w:line="280" w:lineRule="exact"/>
              <w:jc w:val="left"/>
              <w:textAlignment w:val="center"/>
              <w:rPr>
                <w:rFonts w:eastAsia="仿宋_GB2312"/>
                <w:sz w:val="20"/>
                <w:szCs w:val="20"/>
              </w:rPr>
            </w:pPr>
            <w:r>
              <w:rPr>
                <w:rFonts w:eastAsia="仿宋_GB2312"/>
                <w:kern w:val="0"/>
                <w:sz w:val="20"/>
                <w:szCs w:val="20"/>
              </w:rPr>
              <w:t>业务范围审批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山西银保监局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市银保监分局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《中华人民共和国银行业监督管理法》</w:t>
            </w:r>
            <w:r>
              <w:rPr>
                <w:rFonts w:eastAsia="仿宋_GB2312"/>
                <w:kern w:val="0"/>
                <w:sz w:val="20"/>
                <w:szCs w:val="20"/>
              </w:rPr>
              <w:br w:type="textWrapping"/>
            </w:r>
            <w:r>
              <w:rPr>
                <w:rFonts w:eastAsia="仿宋_GB2312"/>
                <w:kern w:val="0"/>
                <w:sz w:val="20"/>
                <w:szCs w:val="20"/>
              </w:rPr>
              <w:t>《中华人民共和国商业银行法》</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非银行金融机构及其分支机构</w:t>
            </w:r>
            <w:r>
              <w:rPr>
                <w:rFonts w:eastAsia="仿宋_GB2312"/>
                <w:kern w:val="0"/>
                <w:sz w:val="20"/>
                <w:szCs w:val="20"/>
              </w:rPr>
              <w:br w:type="textWrapping"/>
            </w:r>
            <w:r>
              <w:rPr>
                <w:rFonts w:eastAsia="仿宋_GB2312"/>
                <w:kern w:val="0"/>
                <w:sz w:val="20"/>
                <w:szCs w:val="20"/>
              </w:rPr>
              <w:t>设立、变更、终止以及业务</w:t>
            </w:r>
          </w:p>
          <w:p>
            <w:pPr>
              <w:widowControl/>
              <w:spacing w:line="280" w:lineRule="exact"/>
              <w:jc w:val="left"/>
              <w:textAlignment w:val="center"/>
              <w:rPr>
                <w:rFonts w:eastAsia="仿宋_GB2312"/>
                <w:sz w:val="20"/>
                <w:szCs w:val="20"/>
              </w:rPr>
            </w:pPr>
            <w:r>
              <w:rPr>
                <w:rFonts w:eastAsia="仿宋_GB2312"/>
                <w:kern w:val="0"/>
                <w:sz w:val="20"/>
                <w:szCs w:val="20"/>
              </w:rPr>
              <w:t>范围审批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山西银保监局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市银保监分局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《中华人民共和国银行业监督管理法》</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中资银行业金融机构及非银行</w:t>
            </w:r>
            <w:r>
              <w:rPr>
                <w:rFonts w:eastAsia="仿宋_GB2312"/>
                <w:kern w:val="0"/>
                <w:sz w:val="20"/>
                <w:szCs w:val="20"/>
              </w:rPr>
              <w:br w:type="textWrapping"/>
            </w:r>
            <w:r>
              <w:rPr>
                <w:rFonts w:eastAsia="仿宋_GB2312"/>
                <w:kern w:val="0"/>
                <w:sz w:val="20"/>
                <w:szCs w:val="20"/>
              </w:rPr>
              <w:t>金融机构董事和高级管理人员</w:t>
            </w:r>
            <w:r>
              <w:rPr>
                <w:rFonts w:eastAsia="仿宋_GB2312"/>
                <w:kern w:val="0"/>
                <w:sz w:val="20"/>
                <w:szCs w:val="20"/>
              </w:rPr>
              <w:br w:type="textWrapping"/>
            </w:r>
            <w:r>
              <w:rPr>
                <w:rFonts w:eastAsia="仿宋_GB2312"/>
                <w:kern w:val="0"/>
                <w:sz w:val="20"/>
                <w:szCs w:val="20"/>
              </w:rPr>
              <w:t>任职资格核准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山西银保监局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市银保监分局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《中华人民共和国银行业监督管理法》</w:t>
            </w:r>
            <w:r>
              <w:rPr>
                <w:rFonts w:eastAsia="仿宋_GB2312"/>
                <w:kern w:val="0"/>
                <w:sz w:val="20"/>
                <w:szCs w:val="20"/>
              </w:rPr>
              <w:br w:type="textWrapping"/>
            </w:r>
            <w:r>
              <w:rPr>
                <w:rFonts w:eastAsia="仿宋_GB2312"/>
                <w:kern w:val="0"/>
                <w:sz w:val="20"/>
                <w:szCs w:val="20"/>
              </w:rPr>
              <w:t>《中华人民共和国商业银行法》</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299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外资银行营业性机构及其分支机构设立、变更、终止以及</w:t>
            </w:r>
          </w:p>
          <w:p>
            <w:pPr>
              <w:widowControl/>
              <w:spacing w:line="280" w:lineRule="exact"/>
              <w:jc w:val="left"/>
              <w:textAlignment w:val="center"/>
              <w:rPr>
                <w:rFonts w:eastAsia="仿宋_GB2312"/>
                <w:sz w:val="20"/>
                <w:szCs w:val="20"/>
              </w:rPr>
            </w:pPr>
            <w:r>
              <w:rPr>
                <w:rFonts w:eastAsia="仿宋_GB2312"/>
                <w:kern w:val="0"/>
                <w:sz w:val="20"/>
                <w:szCs w:val="20"/>
              </w:rPr>
              <w:t>业务范围审批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山西银保监局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市银保监分局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《中华人民共和国银行业监督管理法》</w:t>
            </w:r>
            <w:r>
              <w:rPr>
                <w:rFonts w:eastAsia="仿宋_GB2312"/>
                <w:kern w:val="0"/>
                <w:sz w:val="20"/>
                <w:szCs w:val="20"/>
              </w:rPr>
              <w:br w:type="textWrapping"/>
            </w:r>
            <w:r>
              <w:rPr>
                <w:rFonts w:eastAsia="仿宋_GB2312"/>
                <w:kern w:val="0"/>
                <w:sz w:val="20"/>
                <w:szCs w:val="20"/>
              </w:rPr>
              <w:t>《中华人民共和国外资银行管理条例》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598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外资银行董事、高级管理人员、</w:t>
            </w:r>
            <w:r>
              <w:rPr>
                <w:rFonts w:eastAsia="仿宋_GB2312"/>
                <w:kern w:val="0"/>
                <w:sz w:val="20"/>
                <w:szCs w:val="20"/>
              </w:rPr>
              <w:br w:type="textWrapping"/>
            </w:r>
            <w:r>
              <w:rPr>
                <w:rFonts w:eastAsia="仿宋_GB2312"/>
                <w:kern w:val="0"/>
                <w:sz w:val="20"/>
                <w:szCs w:val="20"/>
              </w:rPr>
              <w:t>首席代表任职资格核准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山西银保监局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市银保监分局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《中华人民共和国银行业监督管理法》</w:t>
            </w:r>
            <w:r>
              <w:rPr>
                <w:rFonts w:eastAsia="仿宋_GB2312"/>
                <w:kern w:val="0"/>
                <w:sz w:val="20"/>
                <w:szCs w:val="20"/>
              </w:rPr>
              <w:br w:type="textWrapping"/>
            </w:r>
            <w:r>
              <w:rPr>
                <w:rFonts w:eastAsia="仿宋_GB2312"/>
                <w:kern w:val="0"/>
                <w:sz w:val="20"/>
                <w:szCs w:val="20"/>
              </w:rPr>
              <w:t>《中华人民共和国外资银行管理条例》</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600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保险公司及其分支机构设立、变更、终止以及业务范围审批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山西银保监局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市银保监分局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《中华人民共和国保险法》</w:t>
            </w:r>
            <w:r>
              <w:rPr>
                <w:rFonts w:eastAsia="仿宋_GB2312"/>
                <w:kern w:val="0"/>
                <w:sz w:val="20"/>
                <w:szCs w:val="20"/>
              </w:rPr>
              <w:br w:type="textWrapping"/>
            </w:r>
            <w:r>
              <w:rPr>
                <w:rFonts w:eastAsia="仿宋_GB2312"/>
                <w:kern w:val="0"/>
                <w:sz w:val="20"/>
                <w:szCs w:val="20"/>
              </w:rPr>
              <w:t>《中华人民共和国外资保险公司管理条例》</w:t>
            </w:r>
            <w:r>
              <w:rPr>
                <w:rFonts w:eastAsia="仿宋_GB2312"/>
                <w:kern w:val="0"/>
                <w:sz w:val="20"/>
                <w:szCs w:val="20"/>
              </w:rPr>
              <w:br w:type="textWrapping"/>
            </w: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2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601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保险公司董事、监事和高级管理人员任职资格核准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山西银保监局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市银保监分局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《中华人民共和国保险法》</w:t>
            </w:r>
            <w:r>
              <w:rPr>
                <w:rFonts w:eastAsia="仿宋_GB2312"/>
                <w:kern w:val="0"/>
                <w:sz w:val="20"/>
                <w:szCs w:val="20"/>
              </w:rPr>
              <w:br w:type="textWrapping"/>
            </w: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商业银行、信用社代理支库</w:t>
            </w:r>
          </w:p>
          <w:p>
            <w:pPr>
              <w:widowControl/>
              <w:spacing w:line="280" w:lineRule="exact"/>
              <w:jc w:val="left"/>
              <w:textAlignment w:val="center"/>
              <w:rPr>
                <w:rFonts w:eastAsia="仿宋_GB2312"/>
                <w:sz w:val="20"/>
                <w:szCs w:val="20"/>
              </w:rPr>
            </w:pPr>
            <w:r>
              <w:rPr>
                <w:rFonts w:eastAsia="仿宋_GB2312"/>
                <w:kern w:val="0"/>
                <w:sz w:val="20"/>
                <w:szCs w:val="20"/>
              </w:rPr>
              <w:t>业务审批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人行太原中心支行</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人行太原中心支行（忻州市中心支行受理）</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《商业银行、信用社代理支库业务审批工作规程（暂行）》（银发〔2005〕89号）</w:t>
            </w:r>
          </w:p>
        </w:tc>
      </w:tr>
      <w:tr>
        <w:tblPrEx>
          <w:tblCellMar>
            <w:top w:w="0" w:type="dxa"/>
            <w:left w:w="108" w:type="dxa"/>
            <w:bottom w:w="0" w:type="dxa"/>
            <w:right w:w="108" w:type="dxa"/>
          </w:tblCellMar>
        </w:tblPrEx>
        <w:trPr>
          <w:trHeight w:val="12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黄金及其制品进出口审批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人行太原中心支行</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人行太原中心支行（忻州市中心支行受理）</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《黄金及黄金制品进出口管理办法》（中国人民银行、海关总署令〔2015〕第1号）</w:t>
            </w:r>
          </w:p>
        </w:tc>
      </w:tr>
      <w:tr>
        <w:tblPrEx>
          <w:tblCellMar>
            <w:top w:w="0" w:type="dxa"/>
            <w:left w:w="108" w:type="dxa"/>
            <w:bottom w:w="0" w:type="dxa"/>
            <w:right w:w="108" w:type="dxa"/>
          </w:tblCellMar>
        </w:tblPrEx>
        <w:trPr>
          <w:trHeight w:val="64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银行账户开户许可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人行太原中心支行</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忻州市中心支行、各县支行</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国库集中收付代理银行资格</w:t>
            </w:r>
          </w:p>
          <w:p>
            <w:pPr>
              <w:widowControl/>
              <w:spacing w:line="280" w:lineRule="exact"/>
              <w:jc w:val="left"/>
              <w:textAlignment w:val="center"/>
              <w:rPr>
                <w:rFonts w:eastAsia="仿宋_GB2312"/>
                <w:sz w:val="20"/>
                <w:szCs w:val="20"/>
              </w:rPr>
            </w:pPr>
            <w:r>
              <w:rPr>
                <w:rFonts w:eastAsia="仿宋_GB2312"/>
                <w:kern w:val="0"/>
                <w:sz w:val="20"/>
                <w:szCs w:val="20"/>
              </w:rPr>
              <w:t>认定</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人行太原中心支行</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忻州市中心支行、各县支行</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0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经常项目收支企业核准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0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经常项目特定收支业务核准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83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309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619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经常项目外汇存放境外核准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r>
              <w:rPr>
                <w:rFonts w:eastAsia="仿宋_GB2312"/>
                <w:kern w:val="0"/>
                <w:sz w:val="20"/>
                <w:szCs w:val="20"/>
              </w:rPr>
              <w:br w:type="textWrapping"/>
            </w:r>
            <w:r>
              <w:rPr>
                <w:rFonts w:eastAsia="仿宋_GB2312"/>
                <w:kern w:val="0"/>
                <w:sz w:val="20"/>
                <w:szCs w:val="20"/>
              </w:rPr>
              <w:t>《中华人民共和国外汇管理条例》</w:t>
            </w:r>
          </w:p>
        </w:tc>
      </w:tr>
      <w:tr>
        <w:tblPrEx>
          <w:tblCellMar>
            <w:top w:w="0" w:type="dxa"/>
            <w:left w:w="108" w:type="dxa"/>
            <w:bottom w:w="0" w:type="dxa"/>
            <w:right w:w="108" w:type="dxa"/>
          </w:tblCellMar>
        </w:tblPrEx>
        <w:trPr>
          <w:trHeight w:val="97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620</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境外直接投资项下外汇登记</w:t>
            </w:r>
          </w:p>
          <w:p>
            <w:pPr>
              <w:widowControl/>
              <w:spacing w:line="280" w:lineRule="exact"/>
              <w:jc w:val="left"/>
              <w:textAlignment w:val="center"/>
              <w:rPr>
                <w:rFonts w:eastAsia="仿宋_GB2312"/>
                <w:sz w:val="20"/>
                <w:szCs w:val="20"/>
              </w:rPr>
            </w:pPr>
            <w:r>
              <w:rPr>
                <w:rFonts w:eastAsia="仿宋_GB2312"/>
                <w:kern w:val="0"/>
                <w:sz w:val="20"/>
                <w:szCs w:val="20"/>
              </w:rPr>
              <w:t>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621</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境内直接投资项下外汇登记</w:t>
            </w:r>
          </w:p>
          <w:p>
            <w:pPr>
              <w:widowControl/>
              <w:spacing w:line="280" w:lineRule="exact"/>
              <w:jc w:val="left"/>
              <w:textAlignment w:val="center"/>
              <w:rPr>
                <w:rFonts w:eastAsia="仿宋_GB2312"/>
                <w:sz w:val="20"/>
                <w:szCs w:val="20"/>
              </w:rPr>
            </w:pPr>
            <w:r>
              <w:rPr>
                <w:rFonts w:eastAsia="仿宋_GB2312"/>
                <w:kern w:val="0"/>
                <w:sz w:val="20"/>
                <w:szCs w:val="20"/>
              </w:rPr>
              <w:t>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r>
              <w:rPr>
                <w:rFonts w:eastAsia="仿宋_GB2312"/>
                <w:kern w:val="0"/>
                <w:sz w:val="20"/>
                <w:szCs w:val="20"/>
              </w:rPr>
              <w:br w:type="textWrapping"/>
            </w: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外币现钞提取、出境携带、</w:t>
            </w:r>
          </w:p>
          <w:p>
            <w:pPr>
              <w:widowControl/>
              <w:spacing w:line="280" w:lineRule="exact"/>
              <w:jc w:val="left"/>
              <w:textAlignment w:val="center"/>
              <w:rPr>
                <w:rFonts w:eastAsia="仿宋_GB2312"/>
                <w:sz w:val="20"/>
                <w:szCs w:val="20"/>
              </w:rPr>
            </w:pPr>
            <w:r>
              <w:rPr>
                <w:rFonts w:eastAsia="仿宋_GB2312"/>
                <w:kern w:val="0"/>
                <w:sz w:val="20"/>
                <w:szCs w:val="20"/>
              </w:rPr>
              <w:t>跨境调运核准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r>
              <w:rPr>
                <w:rFonts w:eastAsia="仿宋_GB2312"/>
                <w:kern w:val="0"/>
                <w:sz w:val="20"/>
                <w:szCs w:val="20"/>
              </w:rPr>
              <w:br w:type="textWrapping"/>
            </w: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5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623</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跨境证券、衍生产品外汇业务核准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p>
        </w:tc>
      </w:tr>
      <w:tr>
        <w:tblPrEx>
          <w:tblCellMar>
            <w:top w:w="0" w:type="dxa"/>
            <w:left w:w="108" w:type="dxa"/>
            <w:bottom w:w="0" w:type="dxa"/>
            <w:right w:w="108" w:type="dxa"/>
          </w:tblCellMar>
        </w:tblPrEx>
        <w:trPr>
          <w:trHeight w:val="9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境内机构外债、跨境担保核准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r>
              <w:rPr>
                <w:rFonts w:eastAsia="仿宋_GB2312"/>
                <w:kern w:val="0"/>
                <w:sz w:val="20"/>
                <w:szCs w:val="20"/>
              </w:rPr>
              <w:br w:type="textWrapping"/>
            </w:r>
            <w:r>
              <w:rPr>
                <w:rFonts w:eastAsia="仿宋_GB2312"/>
                <w:kern w:val="0"/>
                <w:sz w:val="20"/>
                <w:szCs w:val="20"/>
              </w:rPr>
              <w:t>《国务院对确需保留的行政审批项目设定行政许可的决定》</w:t>
            </w:r>
          </w:p>
        </w:tc>
      </w:tr>
      <w:tr>
        <w:tblPrEx>
          <w:tblCellMar>
            <w:top w:w="0" w:type="dxa"/>
            <w:left w:w="108" w:type="dxa"/>
            <w:bottom w:w="0" w:type="dxa"/>
            <w:right w:w="108" w:type="dxa"/>
          </w:tblCellMar>
        </w:tblPrEx>
        <w:trPr>
          <w:trHeight w:val="71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315</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境内机构（不含银行业金融机构）对外债权核准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p>
        </w:tc>
      </w:tr>
      <w:tr>
        <w:tblPrEx>
          <w:tblCellMar>
            <w:top w:w="0" w:type="dxa"/>
            <w:left w:w="108" w:type="dxa"/>
            <w:bottom w:w="0" w:type="dxa"/>
            <w:right w:w="108" w:type="dxa"/>
          </w:tblCellMar>
        </w:tblPrEx>
        <w:trPr>
          <w:trHeight w:val="83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316</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626</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资本项目外汇资金结汇核准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p>
        </w:tc>
      </w:tr>
      <w:tr>
        <w:tblPrEx>
          <w:tblCellMar>
            <w:top w:w="0" w:type="dxa"/>
            <w:left w:w="108" w:type="dxa"/>
            <w:bottom w:w="0" w:type="dxa"/>
            <w:right w:w="108" w:type="dxa"/>
          </w:tblCellMar>
        </w:tblPrEx>
        <w:trPr>
          <w:trHeight w:val="84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317</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资本项目外汇资金购付汇核准</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p>
        </w:tc>
      </w:tr>
      <w:tr>
        <w:tblPrEx>
          <w:tblCellMar>
            <w:top w:w="0" w:type="dxa"/>
            <w:left w:w="108" w:type="dxa"/>
            <w:bottom w:w="0" w:type="dxa"/>
            <w:right w:w="108" w:type="dxa"/>
          </w:tblCellMar>
        </w:tblPrEx>
        <w:trPr>
          <w:trHeight w:val="71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318</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经营或者终止结售汇业务审批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p>
        </w:tc>
      </w:tr>
      <w:tr>
        <w:tblPrEx>
          <w:tblCellMar>
            <w:top w:w="0" w:type="dxa"/>
            <w:left w:w="108" w:type="dxa"/>
            <w:bottom w:w="0" w:type="dxa"/>
            <w:right w:w="108" w:type="dxa"/>
          </w:tblCellMar>
        </w:tblPrEx>
        <w:trPr>
          <w:trHeight w:val="110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319</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629</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非银行金融机构经营、终止结售汇业务以外的外汇业务审批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国家外汇局山西省分局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忻州市中心支行、（部分县）支局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《中华人民共和国外汇管理条例》</w:t>
            </w:r>
          </w:p>
        </w:tc>
      </w:tr>
      <w:tr>
        <w:tblPrEx>
          <w:tblCellMar>
            <w:top w:w="0" w:type="dxa"/>
            <w:left w:w="108" w:type="dxa"/>
            <w:bottom w:w="0" w:type="dxa"/>
            <w:right w:w="108" w:type="dxa"/>
          </w:tblCellMar>
        </w:tblPrEx>
        <w:trPr>
          <w:trHeight w:val="9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320</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634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海关监管货物仓储企业注册</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太原海关</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忻州海关</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《中华人民共和国海关法》</w:t>
            </w:r>
            <w:r>
              <w:rPr>
                <w:rFonts w:eastAsia="仿宋_GB2312"/>
                <w:kern w:val="0"/>
                <w:sz w:val="20"/>
                <w:szCs w:val="20"/>
              </w:rPr>
              <w:br w:type="textWrapping"/>
            </w:r>
            <w:r>
              <w:rPr>
                <w:rFonts w:eastAsia="仿宋_GB2312"/>
                <w:kern w:val="0"/>
                <w:sz w:val="20"/>
                <w:szCs w:val="20"/>
              </w:rPr>
              <w:t>《中华人民共和国海关监管区管理暂行办法》（海关总署令第232号，海关总署令第240号修正）</w:t>
            </w:r>
          </w:p>
        </w:tc>
      </w:tr>
      <w:tr>
        <w:tblPrEx>
          <w:tblCellMar>
            <w:top w:w="0" w:type="dxa"/>
            <w:left w:w="108" w:type="dxa"/>
            <w:bottom w:w="0" w:type="dxa"/>
            <w:right w:w="108" w:type="dxa"/>
          </w:tblCellMar>
        </w:tblPrEx>
        <w:trPr>
          <w:trHeight w:val="85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321</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642</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设立烟叶收购站（点）审批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山西烟草专卖局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市烟草专卖局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《中华人民共和国烟草专卖法实施条例》</w:t>
            </w:r>
          </w:p>
        </w:tc>
      </w:tr>
      <w:tr>
        <w:tblPrEx>
          <w:tblCellMar>
            <w:top w:w="0" w:type="dxa"/>
            <w:left w:w="108" w:type="dxa"/>
            <w:bottom w:w="0" w:type="dxa"/>
            <w:right w:w="108" w:type="dxa"/>
          </w:tblCellMar>
        </w:tblPrEx>
        <w:trPr>
          <w:trHeight w:val="70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322</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644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烟草专卖零售许可</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山西烟草专卖局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市烟草专卖局、县级烟草部门</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《中华人民共和国烟草专卖法》</w:t>
            </w:r>
            <w:r>
              <w:rPr>
                <w:rFonts w:eastAsia="仿宋_GB2312"/>
                <w:kern w:val="0"/>
                <w:sz w:val="20"/>
                <w:szCs w:val="20"/>
              </w:rPr>
              <w:br w:type="textWrapping"/>
            </w:r>
            <w:r>
              <w:rPr>
                <w:rFonts w:eastAsia="仿宋_GB2312"/>
                <w:kern w:val="0"/>
                <w:sz w:val="20"/>
                <w:szCs w:val="20"/>
              </w:rPr>
              <w:t>《中华人民共和国烟草专卖法实施条例》</w:t>
            </w:r>
          </w:p>
        </w:tc>
      </w:tr>
      <w:tr>
        <w:tblPrEx>
          <w:tblCellMar>
            <w:top w:w="0" w:type="dxa"/>
            <w:left w:w="108" w:type="dxa"/>
            <w:bottom w:w="0" w:type="dxa"/>
            <w:right w:w="108" w:type="dxa"/>
          </w:tblCellMar>
        </w:tblPrEx>
        <w:trPr>
          <w:trHeight w:val="1123"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323</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647</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邮政企业撤销普遍服务营业</w:t>
            </w:r>
          </w:p>
          <w:p>
            <w:pPr>
              <w:widowControl/>
              <w:spacing w:line="280" w:lineRule="exact"/>
              <w:jc w:val="left"/>
              <w:textAlignment w:val="center"/>
              <w:rPr>
                <w:rFonts w:eastAsia="仿宋_GB2312"/>
                <w:sz w:val="20"/>
                <w:szCs w:val="20"/>
              </w:rPr>
            </w:pPr>
            <w:r>
              <w:rPr>
                <w:rFonts w:eastAsia="仿宋_GB2312"/>
                <w:kern w:val="0"/>
                <w:sz w:val="20"/>
                <w:szCs w:val="20"/>
              </w:rPr>
              <w:t>场所审批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山西省邮政管理局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市邮政管理局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《中华人民共和国邮政法》</w:t>
            </w:r>
          </w:p>
        </w:tc>
      </w:tr>
      <w:tr>
        <w:tblPrEx>
          <w:tblCellMar>
            <w:top w:w="0" w:type="dxa"/>
            <w:left w:w="108" w:type="dxa"/>
            <w:bottom w:w="0" w:type="dxa"/>
            <w:right w:w="108" w:type="dxa"/>
          </w:tblCellMar>
        </w:tblPrEx>
        <w:trPr>
          <w:trHeight w:val="99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324</w:t>
            </w:r>
          </w:p>
        </w:tc>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648</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邮政企业停限办普遍服务和特殊服务业务审批</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山西省邮政管理局</w:t>
            </w:r>
          </w:p>
        </w:tc>
        <w:tc>
          <w:tcPr>
            <w:tcW w:w="242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市邮政管理局</w:t>
            </w:r>
          </w:p>
        </w:tc>
        <w:tc>
          <w:tcPr>
            <w:tcW w:w="532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《中华人民共和国邮政法》</w:t>
            </w:r>
          </w:p>
        </w:tc>
      </w:tr>
      <w:tr>
        <w:tblPrEx>
          <w:tblCellMar>
            <w:top w:w="0" w:type="dxa"/>
            <w:left w:w="108" w:type="dxa"/>
            <w:bottom w:w="0" w:type="dxa"/>
            <w:right w:w="108" w:type="dxa"/>
          </w:tblCellMar>
        </w:tblPrEx>
        <w:trPr>
          <w:trHeight w:val="270" w:hRule="atLeast"/>
          <w:jc w:val="center"/>
        </w:trPr>
        <w:tc>
          <w:tcPr>
            <w:tcW w:w="735" w:type="dxa"/>
            <w:tcBorders>
              <w:top w:val="nil"/>
              <w:left w:val="nil"/>
              <w:bottom w:val="nil"/>
              <w:right w:val="nil"/>
            </w:tcBorders>
            <w:vAlign w:val="center"/>
          </w:tcPr>
          <w:p>
            <w:pPr>
              <w:spacing w:line="280" w:lineRule="exact"/>
              <w:jc w:val="center"/>
              <w:rPr>
                <w:rFonts w:eastAsia="仿宋_GB2312"/>
                <w:sz w:val="20"/>
                <w:szCs w:val="20"/>
              </w:rPr>
            </w:pPr>
          </w:p>
        </w:tc>
        <w:tc>
          <w:tcPr>
            <w:tcW w:w="1265" w:type="dxa"/>
            <w:gridSpan w:val="2"/>
            <w:tcBorders>
              <w:top w:val="nil"/>
              <w:left w:val="nil"/>
              <w:bottom w:val="nil"/>
              <w:right w:val="nil"/>
            </w:tcBorders>
            <w:vAlign w:val="center"/>
          </w:tcPr>
          <w:p>
            <w:pPr>
              <w:spacing w:line="280" w:lineRule="exact"/>
              <w:jc w:val="center"/>
              <w:rPr>
                <w:rFonts w:eastAsia="仿宋_GB2312"/>
                <w:sz w:val="20"/>
                <w:szCs w:val="20"/>
              </w:rPr>
            </w:pPr>
          </w:p>
        </w:tc>
        <w:tc>
          <w:tcPr>
            <w:tcW w:w="2410" w:type="dxa"/>
            <w:tcBorders>
              <w:top w:val="nil"/>
              <w:left w:val="nil"/>
              <w:bottom w:val="nil"/>
              <w:right w:val="nil"/>
            </w:tcBorders>
            <w:vAlign w:val="center"/>
          </w:tcPr>
          <w:p>
            <w:pPr>
              <w:spacing w:line="280" w:lineRule="exact"/>
              <w:jc w:val="center"/>
              <w:rPr>
                <w:rFonts w:eastAsia="仿宋_GB2312"/>
                <w:sz w:val="20"/>
                <w:szCs w:val="20"/>
              </w:rPr>
            </w:pPr>
          </w:p>
        </w:tc>
        <w:tc>
          <w:tcPr>
            <w:tcW w:w="1842" w:type="dxa"/>
            <w:gridSpan w:val="3"/>
            <w:tcBorders>
              <w:top w:val="nil"/>
              <w:left w:val="nil"/>
              <w:bottom w:val="nil"/>
              <w:right w:val="nil"/>
            </w:tcBorders>
            <w:vAlign w:val="center"/>
          </w:tcPr>
          <w:p>
            <w:pPr>
              <w:spacing w:line="280" w:lineRule="exact"/>
              <w:jc w:val="center"/>
              <w:rPr>
                <w:rFonts w:eastAsia="仿宋_GB2312"/>
                <w:sz w:val="20"/>
                <w:szCs w:val="20"/>
              </w:rPr>
            </w:pPr>
          </w:p>
        </w:tc>
        <w:tc>
          <w:tcPr>
            <w:tcW w:w="2422" w:type="dxa"/>
            <w:gridSpan w:val="3"/>
            <w:tcBorders>
              <w:top w:val="nil"/>
              <w:left w:val="nil"/>
              <w:bottom w:val="nil"/>
              <w:right w:val="nil"/>
            </w:tcBorders>
            <w:vAlign w:val="center"/>
          </w:tcPr>
          <w:p>
            <w:pPr>
              <w:spacing w:line="280" w:lineRule="exact"/>
              <w:jc w:val="center"/>
              <w:rPr>
                <w:rFonts w:eastAsia="仿宋_GB2312"/>
                <w:sz w:val="20"/>
                <w:szCs w:val="20"/>
              </w:rPr>
            </w:pPr>
          </w:p>
        </w:tc>
        <w:tc>
          <w:tcPr>
            <w:tcW w:w="5326" w:type="dxa"/>
            <w:gridSpan w:val="3"/>
            <w:tcBorders>
              <w:top w:val="nil"/>
              <w:left w:val="nil"/>
              <w:bottom w:val="nil"/>
              <w:right w:val="nil"/>
            </w:tcBorders>
            <w:vAlign w:val="center"/>
          </w:tcPr>
          <w:p>
            <w:pPr>
              <w:spacing w:line="280" w:lineRule="exact"/>
              <w:rPr>
                <w:rFonts w:eastAsia="仿宋_GB2312"/>
                <w:sz w:val="20"/>
                <w:szCs w:val="20"/>
              </w:rPr>
            </w:pPr>
          </w:p>
        </w:tc>
      </w:tr>
      <w:tr>
        <w:tblPrEx>
          <w:tblCellMar>
            <w:top w:w="0" w:type="dxa"/>
            <w:left w:w="108" w:type="dxa"/>
            <w:bottom w:w="0" w:type="dxa"/>
            <w:right w:w="108" w:type="dxa"/>
          </w:tblCellMar>
        </w:tblPrEx>
        <w:trPr>
          <w:trHeight w:val="405" w:hRule="atLeast"/>
          <w:jc w:val="center"/>
        </w:trPr>
        <w:tc>
          <w:tcPr>
            <w:tcW w:w="14000" w:type="dxa"/>
            <w:gridSpan w:val="13"/>
            <w:tcBorders>
              <w:top w:val="nil"/>
              <w:left w:val="nil"/>
              <w:bottom w:val="nil"/>
              <w:right w:val="nil"/>
            </w:tcBorders>
            <w:vAlign w:val="center"/>
          </w:tcPr>
          <w:p>
            <w:pPr>
              <w:widowControl/>
              <w:spacing w:line="400" w:lineRule="exact"/>
              <w:jc w:val="left"/>
              <w:textAlignment w:val="center"/>
              <w:rPr>
                <w:rFonts w:eastAsia="黑体"/>
                <w:sz w:val="32"/>
                <w:szCs w:val="32"/>
              </w:rPr>
            </w:pPr>
            <w:r>
              <w:rPr>
                <w:rFonts w:hAnsi="黑体" w:eastAsia="黑体"/>
                <w:kern w:val="0"/>
                <w:sz w:val="32"/>
                <w:szCs w:val="32"/>
              </w:rPr>
              <w:t>二、认领省清单中（地方性法规设定）的行政许可事项</w:t>
            </w:r>
            <w:r>
              <w:rPr>
                <w:rFonts w:eastAsia="黑体"/>
                <w:kern w:val="0"/>
                <w:sz w:val="32"/>
                <w:szCs w:val="32"/>
              </w:rPr>
              <w:t>8</w:t>
            </w:r>
            <w:r>
              <w:rPr>
                <w:rFonts w:hAnsi="黑体" w:eastAsia="黑体"/>
                <w:kern w:val="0"/>
                <w:sz w:val="32"/>
                <w:szCs w:val="32"/>
              </w:rPr>
              <w:t>项</w:t>
            </w:r>
          </w:p>
        </w:tc>
      </w:tr>
      <w:tr>
        <w:tblPrEx>
          <w:tblCellMar>
            <w:top w:w="0" w:type="dxa"/>
            <w:left w:w="108" w:type="dxa"/>
            <w:bottom w:w="0" w:type="dxa"/>
            <w:right w:w="108" w:type="dxa"/>
          </w:tblCellMar>
        </w:tblPrEx>
        <w:trPr>
          <w:trHeight w:val="270" w:hRule="atLeast"/>
          <w:jc w:val="center"/>
        </w:trPr>
        <w:tc>
          <w:tcPr>
            <w:tcW w:w="735" w:type="dxa"/>
            <w:tcBorders>
              <w:top w:val="nil"/>
              <w:left w:val="nil"/>
              <w:bottom w:val="nil"/>
              <w:right w:val="nil"/>
            </w:tcBorders>
            <w:vAlign w:val="center"/>
          </w:tcPr>
          <w:p>
            <w:pPr>
              <w:spacing w:line="280" w:lineRule="exact"/>
              <w:jc w:val="center"/>
              <w:rPr>
                <w:rFonts w:eastAsia="仿宋_GB2312"/>
                <w:sz w:val="22"/>
                <w:szCs w:val="22"/>
              </w:rPr>
            </w:pPr>
          </w:p>
        </w:tc>
        <w:tc>
          <w:tcPr>
            <w:tcW w:w="994" w:type="dxa"/>
            <w:tcBorders>
              <w:top w:val="nil"/>
              <w:left w:val="nil"/>
              <w:bottom w:val="nil"/>
              <w:right w:val="nil"/>
            </w:tcBorders>
            <w:vAlign w:val="center"/>
          </w:tcPr>
          <w:p>
            <w:pPr>
              <w:spacing w:line="280" w:lineRule="exact"/>
              <w:jc w:val="center"/>
              <w:rPr>
                <w:rFonts w:eastAsia="仿宋_GB2312"/>
                <w:sz w:val="22"/>
                <w:szCs w:val="22"/>
              </w:rPr>
            </w:pPr>
          </w:p>
        </w:tc>
        <w:tc>
          <w:tcPr>
            <w:tcW w:w="2718" w:type="dxa"/>
            <w:gridSpan w:val="3"/>
            <w:tcBorders>
              <w:top w:val="nil"/>
              <w:left w:val="nil"/>
              <w:bottom w:val="nil"/>
              <w:right w:val="nil"/>
            </w:tcBorders>
            <w:vAlign w:val="center"/>
          </w:tcPr>
          <w:p>
            <w:pPr>
              <w:spacing w:line="280" w:lineRule="exact"/>
              <w:jc w:val="center"/>
              <w:rPr>
                <w:rFonts w:eastAsia="仿宋_GB2312"/>
                <w:sz w:val="22"/>
                <w:szCs w:val="22"/>
              </w:rPr>
            </w:pPr>
          </w:p>
        </w:tc>
        <w:tc>
          <w:tcPr>
            <w:tcW w:w="1534" w:type="dxa"/>
            <w:tcBorders>
              <w:top w:val="nil"/>
              <w:left w:val="nil"/>
              <w:bottom w:val="nil"/>
              <w:right w:val="nil"/>
            </w:tcBorders>
            <w:vAlign w:val="center"/>
          </w:tcPr>
          <w:p>
            <w:pPr>
              <w:spacing w:line="280" w:lineRule="exact"/>
              <w:jc w:val="center"/>
              <w:rPr>
                <w:rFonts w:eastAsia="仿宋_GB2312"/>
                <w:sz w:val="22"/>
                <w:szCs w:val="22"/>
              </w:rPr>
            </w:pPr>
          </w:p>
        </w:tc>
        <w:tc>
          <w:tcPr>
            <w:tcW w:w="2191" w:type="dxa"/>
            <w:gridSpan w:val="2"/>
            <w:tcBorders>
              <w:top w:val="nil"/>
              <w:left w:val="nil"/>
              <w:bottom w:val="nil"/>
              <w:right w:val="nil"/>
            </w:tcBorders>
            <w:vAlign w:val="center"/>
          </w:tcPr>
          <w:p>
            <w:pPr>
              <w:spacing w:line="280" w:lineRule="exact"/>
              <w:jc w:val="center"/>
              <w:rPr>
                <w:rFonts w:eastAsia="仿宋_GB2312"/>
                <w:sz w:val="22"/>
                <w:szCs w:val="22"/>
              </w:rPr>
            </w:pPr>
          </w:p>
        </w:tc>
        <w:tc>
          <w:tcPr>
            <w:tcW w:w="5828" w:type="dxa"/>
            <w:gridSpan w:val="5"/>
            <w:tcBorders>
              <w:top w:val="nil"/>
              <w:left w:val="nil"/>
              <w:bottom w:val="nil"/>
              <w:right w:val="nil"/>
            </w:tcBorders>
            <w:vAlign w:val="center"/>
          </w:tcPr>
          <w:p>
            <w:pPr>
              <w:spacing w:line="280" w:lineRule="exact"/>
              <w:rPr>
                <w:rFonts w:eastAsia="仿宋_GB2312"/>
                <w:sz w:val="22"/>
                <w:szCs w:val="22"/>
              </w:rPr>
            </w:pPr>
          </w:p>
        </w:tc>
      </w:tr>
      <w:tr>
        <w:tblPrEx>
          <w:tblCellMar>
            <w:top w:w="0" w:type="dxa"/>
            <w:left w:w="108" w:type="dxa"/>
            <w:bottom w:w="0" w:type="dxa"/>
            <w:right w:w="108" w:type="dxa"/>
          </w:tblCellMar>
        </w:tblPrEx>
        <w:trPr>
          <w:trHeight w:val="871"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序号</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省清单序号</w:t>
            </w:r>
          </w:p>
        </w:tc>
        <w:tc>
          <w:tcPr>
            <w:tcW w:w="27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许可事项名称</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省级业务指导部门</w:t>
            </w:r>
          </w:p>
        </w:tc>
        <w:tc>
          <w:tcPr>
            <w:tcW w:w="21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实施部门</w:t>
            </w:r>
          </w:p>
        </w:tc>
        <w:tc>
          <w:tcPr>
            <w:tcW w:w="582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设定和实施依据</w:t>
            </w:r>
          </w:p>
        </w:tc>
      </w:tr>
      <w:tr>
        <w:tblPrEx>
          <w:tblCellMar>
            <w:top w:w="0" w:type="dxa"/>
            <w:left w:w="108" w:type="dxa"/>
            <w:bottom w:w="0" w:type="dxa"/>
            <w:right w:w="108" w:type="dxa"/>
          </w:tblCellMar>
        </w:tblPrEx>
        <w:trPr>
          <w:trHeight w:val="154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1</w:t>
            </w:r>
          </w:p>
        </w:tc>
        <w:tc>
          <w:tcPr>
            <w:tcW w:w="2718"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汽车租赁经营许可</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1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82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道路运输条例》（2010年9月29日山西省第十一届人民代表大会常务委员会第十九次会议通过，自2011年1月1日起施行，2019年5月30日山西省第十三届人民代表大会常务委员会第十一次会议第二次修正，自发布之日起施行）第三十三条</w:t>
            </w:r>
          </w:p>
        </w:tc>
      </w:tr>
      <w:tr>
        <w:tblPrEx>
          <w:tblCellMar>
            <w:top w:w="0" w:type="dxa"/>
            <w:left w:w="108" w:type="dxa"/>
            <w:bottom w:w="0" w:type="dxa"/>
            <w:right w:w="108" w:type="dxa"/>
          </w:tblCellMar>
        </w:tblPrEx>
        <w:trPr>
          <w:trHeight w:val="31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2</w:t>
            </w:r>
          </w:p>
        </w:tc>
        <w:tc>
          <w:tcPr>
            <w:tcW w:w="27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城市公共汽（电）车经营许可</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市政府（市行政审批服务管理局承办）、县级政府（县行政审批服务管理局承办）</w:t>
            </w:r>
          </w:p>
        </w:tc>
        <w:tc>
          <w:tcPr>
            <w:tcW w:w="5828"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《山西省城市公共客运条例》（2015年5月28日山西省第十二届人民代表大会常务委员会第二十次会议通过，自2015年10月1日起施行）第十四条</w:t>
            </w:r>
          </w:p>
        </w:tc>
      </w:tr>
      <w:tr>
        <w:tblPrEx>
          <w:tblCellMar>
            <w:top w:w="0" w:type="dxa"/>
            <w:left w:w="108" w:type="dxa"/>
            <w:bottom w:w="0" w:type="dxa"/>
            <w:right w:w="108" w:type="dxa"/>
          </w:tblCellMar>
        </w:tblPrEx>
        <w:trPr>
          <w:trHeight w:val="31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r>
      <w:tr>
        <w:tblPrEx>
          <w:tblCellMar>
            <w:top w:w="0" w:type="dxa"/>
            <w:left w:w="108" w:type="dxa"/>
            <w:bottom w:w="0" w:type="dxa"/>
            <w:right w:w="108" w:type="dxa"/>
          </w:tblCellMar>
        </w:tblPrEx>
        <w:trPr>
          <w:trHeight w:val="756"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r>
      <w:tr>
        <w:tblPrEx>
          <w:tblCellMar>
            <w:top w:w="0" w:type="dxa"/>
            <w:left w:w="108" w:type="dxa"/>
            <w:bottom w:w="0" w:type="dxa"/>
            <w:right w:w="108" w:type="dxa"/>
          </w:tblCellMar>
        </w:tblPrEx>
        <w:trPr>
          <w:trHeight w:val="31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3</w:t>
            </w:r>
          </w:p>
        </w:tc>
        <w:tc>
          <w:tcPr>
            <w:tcW w:w="27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城市公共汽（电）车车辆营</w:t>
            </w:r>
          </w:p>
          <w:p>
            <w:pPr>
              <w:widowControl/>
              <w:spacing w:line="280" w:lineRule="exact"/>
              <w:jc w:val="left"/>
              <w:textAlignment w:val="center"/>
              <w:rPr>
                <w:rFonts w:eastAsia="仿宋_GB2312"/>
                <w:sz w:val="20"/>
                <w:szCs w:val="20"/>
              </w:rPr>
            </w:pPr>
            <w:r>
              <w:rPr>
                <w:rFonts w:eastAsia="仿宋_GB2312"/>
                <w:kern w:val="0"/>
                <w:sz w:val="20"/>
                <w:szCs w:val="20"/>
              </w:rPr>
              <w:t>运证</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省交通厅</w:t>
            </w:r>
          </w:p>
        </w:tc>
        <w:tc>
          <w:tcPr>
            <w:tcW w:w="2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市政府（市行政审批服务管理局承办）、县级政府（县行政审批服务管理局承办）</w:t>
            </w:r>
          </w:p>
        </w:tc>
        <w:tc>
          <w:tcPr>
            <w:tcW w:w="5828"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《山西省城市公共客运条例》（2015年5月28日山西省第十二届人民代表大会常务委员会第二十次会议通过，自2015年10月1日起施行） 第十四条</w:t>
            </w:r>
          </w:p>
        </w:tc>
      </w:tr>
      <w:tr>
        <w:tblPrEx>
          <w:tblCellMar>
            <w:top w:w="0" w:type="dxa"/>
            <w:left w:w="108" w:type="dxa"/>
            <w:bottom w:w="0" w:type="dxa"/>
            <w:right w:w="108" w:type="dxa"/>
          </w:tblCellMar>
        </w:tblPrEx>
        <w:trPr>
          <w:trHeight w:val="31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r>
      <w:tr>
        <w:tblPrEx>
          <w:tblCellMar>
            <w:top w:w="0" w:type="dxa"/>
            <w:left w:w="108" w:type="dxa"/>
            <w:bottom w:w="0" w:type="dxa"/>
            <w:right w:w="108" w:type="dxa"/>
          </w:tblCellMar>
        </w:tblPrEx>
        <w:trPr>
          <w:trHeight w:val="892"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r>
      <w:tr>
        <w:tblPrEx>
          <w:tblCellMar>
            <w:top w:w="0" w:type="dxa"/>
            <w:left w:w="108" w:type="dxa"/>
            <w:bottom w:w="0" w:type="dxa"/>
            <w:right w:w="108" w:type="dxa"/>
          </w:tblCellMar>
        </w:tblPrEx>
        <w:trPr>
          <w:trHeight w:val="31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4</w:t>
            </w:r>
          </w:p>
        </w:tc>
        <w:tc>
          <w:tcPr>
            <w:tcW w:w="27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封闭水域水路旅客运输经营</w:t>
            </w:r>
          </w:p>
          <w:p>
            <w:pPr>
              <w:widowControl/>
              <w:spacing w:line="280" w:lineRule="exact"/>
              <w:jc w:val="left"/>
              <w:textAlignment w:val="center"/>
              <w:rPr>
                <w:rFonts w:eastAsia="仿宋_GB2312"/>
                <w:sz w:val="20"/>
                <w:szCs w:val="20"/>
              </w:rPr>
            </w:pPr>
            <w:r>
              <w:rPr>
                <w:rFonts w:eastAsia="仿宋_GB2312"/>
                <w:kern w:val="0"/>
                <w:sz w:val="20"/>
                <w:szCs w:val="20"/>
              </w:rPr>
              <w:t>许可</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省交通运输厅</w:t>
            </w:r>
          </w:p>
        </w:tc>
        <w:tc>
          <w:tcPr>
            <w:tcW w:w="2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828"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《山西省水路交通管理条例》（山西省第十一届人民代表大会常务委员会第二十四次会议于2011年7月28日通过，自2011年10月1月起施行）第六条 、第七条、第八条</w:t>
            </w:r>
          </w:p>
        </w:tc>
      </w:tr>
      <w:tr>
        <w:tblPrEx>
          <w:tblCellMar>
            <w:top w:w="0" w:type="dxa"/>
            <w:left w:w="108" w:type="dxa"/>
            <w:bottom w:w="0" w:type="dxa"/>
            <w:right w:w="108" w:type="dxa"/>
          </w:tblCellMar>
        </w:tblPrEx>
        <w:trPr>
          <w:trHeight w:val="792"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r>
      <w:tr>
        <w:tblPrEx>
          <w:tblCellMar>
            <w:top w:w="0" w:type="dxa"/>
            <w:left w:w="108" w:type="dxa"/>
            <w:bottom w:w="0" w:type="dxa"/>
            <w:right w:w="108" w:type="dxa"/>
          </w:tblCellMar>
        </w:tblPrEx>
        <w:trPr>
          <w:trHeight w:val="31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5</w:t>
            </w:r>
          </w:p>
        </w:tc>
        <w:tc>
          <w:tcPr>
            <w:tcW w:w="27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猎捕省级重点保护水生野生</w:t>
            </w:r>
          </w:p>
          <w:p>
            <w:pPr>
              <w:widowControl/>
              <w:spacing w:line="280" w:lineRule="exact"/>
              <w:jc w:val="left"/>
              <w:textAlignment w:val="center"/>
              <w:rPr>
                <w:rFonts w:eastAsia="仿宋_GB2312"/>
                <w:sz w:val="20"/>
                <w:szCs w:val="20"/>
              </w:rPr>
            </w:pPr>
            <w:r>
              <w:rPr>
                <w:rFonts w:eastAsia="仿宋_GB2312"/>
                <w:kern w:val="0"/>
                <w:sz w:val="20"/>
                <w:szCs w:val="20"/>
              </w:rPr>
              <w:t>动物审批</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w:t>
            </w:r>
          </w:p>
        </w:tc>
        <w:tc>
          <w:tcPr>
            <w:tcW w:w="5828"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《山西省实施&lt;中华人民共和国野生动物保护法&gt;办法》（1992 年5月20日山西省第七届人民代表大会常务委员会第二十八次会议通过，自发布之日起施行，2020 年3 月31 日修正，自发布之日起施行）第十七条第二款</w:t>
            </w:r>
          </w:p>
        </w:tc>
      </w:tr>
      <w:tr>
        <w:tblPrEx>
          <w:tblCellMar>
            <w:top w:w="0" w:type="dxa"/>
            <w:left w:w="108" w:type="dxa"/>
            <w:bottom w:w="0" w:type="dxa"/>
            <w:right w:w="108" w:type="dxa"/>
          </w:tblCellMar>
        </w:tblPrEx>
        <w:trPr>
          <w:trHeight w:val="1078"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r>
      <w:tr>
        <w:tblPrEx>
          <w:tblCellMar>
            <w:top w:w="0" w:type="dxa"/>
            <w:left w:w="108" w:type="dxa"/>
            <w:bottom w:w="0" w:type="dxa"/>
            <w:right w:w="108" w:type="dxa"/>
          </w:tblCellMar>
        </w:tblPrEx>
        <w:trPr>
          <w:trHeight w:val="31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6</w:t>
            </w:r>
          </w:p>
        </w:tc>
        <w:tc>
          <w:tcPr>
            <w:tcW w:w="27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kern w:val="0"/>
                <w:sz w:val="20"/>
                <w:szCs w:val="20"/>
              </w:rPr>
            </w:pPr>
            <w:r>
              <w:rPr>
                <w:rFonts w:eastAsia="仿宋_GB2312"/>
                <w:kern w:val="0"/>
                <w:sz w:val="20"/>
                <w:szCs w:val="20"/>
              </w:rPr>
              <w:t>人工繁育省级重点保护水生</w:t>
            </w:r>
          </w:p>
          <w:p>
            <w:pPr>
              <w:widowControl/>
              <w:spacing w:line="280" w:lineRule="exact"/>
              <w:jc w:val="left"/>
              <w:textAlignment w:val="center"/>
              <w:rPr>
                <w:rFonts w:eastAsia="仿宋_GB2312"/>
                <w:sz w:val="20"/>
                <w:szCs w:val="20"/>
              </w:rPr>
            </w:pPr>
            <w:r>
              <w:rPr>
                <w:rFonts w:eastAsia="仿宋_GB2312"/>
                <w:kern w:val="0"/>
                <w:sz w:val="20"/>
                <w:szCs w:val="20"/>
              </w:rPr>
              <w:t>野生动物审批</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省农业农村厅</w:t>
            </w:r>
          </w:p>
        </w:tc>
        <w:tc>
          <w:tcPr>
            <w:tcW w:w="2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市农业农村局</w:t>
            </w:r>
          </w:p>
        </w:tc>
        <w:tc>
          <w:tcPr>
            <w:tcW w:w="5828"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《山西省实施&lt;中华人民共和国野生动物保护法&gt;办法》（1992年5月20日山西省第七届人民代表大会常务委员会第二十八次会议通过，自发布之日起施行，2020年3月31日修正，自发布之日起施行）第二十条第三款</w:t>
            </w:r>
          </w:p>
        </w:tc>
      </w:tr>
      <w:tr>
        <w:tblPrEx>
          <w:tblCellMar>
            <w:top w:w="0" w:type="dxa"/>
            <w:left w:w="108" w:type="dxa"/>
            <w:bottom w:w="0" w:type="dxa"/>
            <w:right w:w="108" w:type="dxa"/>
          </w:tblCellMar>
        </w:tblPrEx>
        <w:trPr>
          <w:trHeight w:val="1078"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r>
      <w:tr>
        <w:tblPrEx>
          <w:tblCellMar>
            <w:top w:w="0" w:type="dxa"/>
            <w:left w:w="108" w:type="dxa"/>
            <w:bottom w:w="0" w:type="dxa"/>
            <w:right w:w="108" w:type="dxa"/>
          </w:tblCellMar>
        </w:tblPrEx>
        <w:trPr>
          <w:trHeight w:val="1405"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7</w:t>
            </w:r>
          </w:p>
        </w:tc>
        <w:tc>
          <w:tcPr>
            <w:tcW w:w="27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泉域水环境影响评价报告审批</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省水利厅</w:t>
            </w:r>
          </w:p>
        </w:tc>
        <w:tc>
          <w:tcPr>
            <w:tcW w:w="2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市行政审批服务管理局</w:t>
            </w:r>
          </w:p>
        </w:tc>
        <w:tc>
          <w:tcPr>
            <w:tcW w:w="582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《山西省水资源管理条例》（1982年10月29日山西省第五届人民代表大会常务委员会第十七次会议批准，2007年12月20日山西省第十届人民代表大会常务委员会第三十四次会议修订，2008年3月1日起施行）第二十条</w:t>
            </w:r>
          </w:p>
        </w:tc>
      </w:tr>
      <w:tr>
        <w:tblPrEx>
          <w:tblCellMar>
            <w:top w:w="0" w:type="dxa"/>
            <w:left w:w="108" w:type="dxa"/>
            <w:bottom w:w="0" w:type="dxa"/>
            <w:right w:w="108" w:type="dxa"/>
          </w:tblCellMar>
        </w:tblPrEx>
        <w:trPr>
          <w:trHeight w:val="1553"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仿宋_GB2312"/>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eastAsia="仿宋_GB2312"/>
                <w:sz w:val="20"/>
                <w:szCs w:val="20"/>
              </w:rPr>
            </w:pPr>
          </w:p>
        </w:tc>
        <w:tc>
          <w:tcPr>
            <w:tcW w:w="5828" w:type="dxa"/>
            <w:gridSpan w:val="5"/>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泉域水资源保护条例》（山西省第八届人民代表大会常务委员会第三十次会议于1997年9月28日通过，2010年11月26日，山西省第十一届人民代表大会常务委员会第二十次会议通过了修订,自公布之日起施行）第十四条</w:t>
            </w:r>
          </w:p>
        </w:tc>
      </w:tr>
      <w:tr>
        <w:tblPrEx>
          <w:tblCellMar>
            <w:top w:w="0" w:type="dxa"/>
            <w:left w:w="108" w:type="dxa"/>
            <w:bottom w:w="0" w:type="dxa"/>
            <w:right w:w="108" w:type="dxa"/>
          </w:tblCellMar>
        </w:tblPrEx>
        <w:trPr>
          <w:trHeight w:val="317"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8</w:t>
            </w:r>
          </w:p>
        </w:tc>
        <w:tc>
          <w:tcPr>
            <w:tcW w:w="271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涉及国家安全事项的建设项目竣工验收</w:t>
            </w:r>
          </w:p>
        </w:tc>
        <w:tc>
          <w:tcPr>
            <w:tcW w:w="153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eastAsia="仿宋_GB2312"/>
                <w:sz w:val="20"/>
                <w:szCs w:val="20"/>
              </w:rPr>
            </w:pPr>
            <w:r>
              <w:rPr>
                <w:rFonts w:eastAsia="仿宋_GB2312"/>
                <w:kern w:val="0"/>
                <w:sz w:val="20"/>
                <w:szCs w:val="20"/>
              </w:rPr>
              <w:t>省国安厅</w:t>
            </w:r>
          </w:p>
        </w:tc>
        <w:tc>
          <w:tcPr>
            <w:tcW w:w="2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市国家安全局</w:t>
            </w:r>
          </w:p>
        </w:tc>
        <w:tc>
          <w:tcPr>
            <w:tcW w:w="5828"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eastAsia="仿宋_GB2312"/>
                <w:sz w:val="20"/>
                <w:szCs w:val="20"/>
              </w:rPr>
            </w:pPr>
            <w:r>
              <w:rPr>
                <w:rFonts w:eastAsia="仿宋_GB2312"/>
                <w:kern w:val="0"/>
                <w:sz w:val="20"/>
                <w:szCs w:val="20"/>
              </w:rPr>
              <w:t>《山西省涉及国家安全事项建设项目管理条例》（2010年9月29日山西省第十一届人民代表大会常务委员会第十九次会议通过，自2011年1月1日起施行，根据2014年11月28日山西省第十二届人民代表大会常务委员会第十六次会议关于修改部分地方性法规的决定修正,自公布之日起施行）第十条</w:t>
            </w:r>
          </w:p>
        </w:tc>
      </w:tr>
      <w:tr>
        <w:tblPrEx>
          <w:tblCellMar>
            <w:top w:w="0" w:type="dxa"/>
            <w:left w:w="108" w:type="dxa"/>
            <w:bottom w:w="0" w:type="dxa"/>
            <w:right w:w="108" w:type="dxa"/>
          </w:tblCellMar>
        </w:tblPrEx>
        <w:trPr>
          <w:trHeight w:val="1367"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cs="宋体"/>
                <w:sz w:val="20"/>
                <w:szCs w:val="20"/>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cs="宋体"/>
                <w:sz w:val="20"/>
                <w:szCs w:val="20"/>
              </w:rPr>
            </w:pPr>
          </w:p>
        </w:tc>
        <w:tc>
          <w:tcPr>
            <w:tcW w:w="2718"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cs="宋体"/>
                <w:sz w:val="20"/>
                <w:szCs w:val="20"/>
              </w:rPr>
            </w:pPr>
          </w:p>
        </w:tc>
        <w:tc>
          <w:tcPr>
            <w:tcW w:w="1534"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cs="宋体"/>
                <w:sz w:val="20"/>
                <w:szCs w:val="20"/>
              </w:rPr>
            </w:pPr>
          </w:p>
        </w:tc>
        <w:tc>
          <w:tcPr>
            <w:tcW w:w="2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宋体" w:hAnsi="宋体" w:cs="宋体"/>
                <w:sz w:val="20"/>
                <w:szCs w:val="20"/>
              </w:rPr>
            </w:pPr>
          </w:p>
        </w:tc>
        <w:tc>
          <w:tcPr>
            <w:tcW w:w="5828" w:type="dxa"/>
            <w:gridSpan w:val="5"/>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宋体" w:hAnsi="宋体" w:cs="宋体"/>
                <w:sz w:val="20"/>
                <w:szCs w:val="20"/>
              </w:rPr>
            </w:pPr>
          </w:p>
        </w:tc>
      </w:tr>
    </w:tbl>
    <w:p>
      <w:pPr>
        <w:spacing w:line="280" w:lineRule="exact"/>
      </w:pPr>
    </w:p>
    <w:p>
      <w:pPr>
        <w:spacing w:line="560" w:lineRule="exact"/>
        <w:ind w:firstLine="640" w:firstLineChars="200"/>
        <w:rPr>
          <w:rFonts w:eastAsia="仿宋_GB2312"/>
          <w:sz w:val="32"/>
          <w:szCs w:val="32"/>
        </w:rPr>
        <w:sectPr>
          <w:footerReference r:id="rId7" w:type="first"/>
          <w:footerReference r:id="rId5" w:type="default"/>
          <w:footerReference r:id="rId6" w:type="even"/>
          <w:pgSz w:w="16838" w:h="11906" w:orient="landscape"/>
          <w:pgMar w:top="1588" w:right="1588" w:bottom="1304" w:left="1588" w:header="851" w:footer="907" w:gutter="0"/>
          <w:pgNumType w:fmt="numberInDash" w:start="8"/>
          <w:cols w:space="720" w:num="1"/>
          <w:titlePg/>
          <w:docGrid w:type="lines" w:linePitch="317" w:charSpace="0"/>
        </w:sect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eastAsia="仿宋_GB2312"/>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60" w:lineRule="exact"/>
        <w:rPr>
          <w:rFonts w:eastAsia="仿宋_GB2312"/>
          <w:color w:val="000000"/>
          <w:sz w:val="32"/>
          <w:szCs w:val="32"/>
        </w:rPr>
      </w:pPr>
    </w:p>
    <w:p>
      <w:pPr>
        <w:spacing w:line="500" w:lineRule="exact"/>
        <w:rPr>
          <w:rFonts w:eastAsia="仿宋_GB2312"/>
          <w:color w:val="000000"/>
          <w:kern w:val="0"/>
          <w:sz w:val="28"/>
          <w:szCs w:val="28"/>
        </w:rPr>
      </w:pPr>
      <w:r>
        <w:rPr>
          <w:rFonts w:eastAsia="仿宋_GB2312"/>
          <w:color w:val="000000"/>
          <w:kern w:val="0"/>
          <w:sz w:val="28"/>
          <w:szCs w:val="28"/>
        </w:rPr>
        <w:pict>
          <v:line id="_x0000_s1766" o:spid="_x0000_s1766" o:spt="20" style="position:absolute;left:0pt;margin-top:2.5pt;height:0pt;width:441pt;mso-position-horizontal:center;z-index:251661312;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抄送：市委办公室，市人大常委会办公室，市政协办公室，市中级法 </w:t>
      </w:r>
    </w:p>
    <w:p>
      <w:pPr>
        <w:spacing w:line="500" w:lineRule="exact"/>
        <w:ind w:firstLine="1176" w:firstLineChars="420"/>
        <w:rPr>
          <w:rFonts w:eastAsia="仿宋_GB2312"/>
          <w:color w:val="000000"/>
          <w:kern w:val="0"/>
          <w:sz w:val="28"/>
          <w:szCs w:val="28"/>
        </w:rPr>
      </w:pPr>
      <w:r>
        <w:rPr>
          <w:rFonts w:eastAsia="仿宋_GB2312"/>
          <w:color w:val="000000"/>
          <w:kern w:val="0"/>
          <w:sz w:val="28"/>
          <w:szCs w:val="28"/>
        </w:rPr>
        <w:t xml:space="preserve">院，市检察院。 </w:t>
      </w:r>
    </w:p>
    <w:p>
      <w:pPr>
        <w:spacing w:line="500" w:lineRule="exact"/>
        <w:rPr>
          <w:rFonts w:eastAsia="仿宋_GB2312"/>
          <w:color w:val="000000"/>
          <w:kern w:val="0"/>
          <w:sz w:val="28"/>
          <w:szCs w:val="28"/>
        </w:rPr>
      </w:pPr>
      <w:r>
        <w:rPr>
          <w:rFonts w:eastAsia="仿宋_GB2312"/>
          <w:color w:val="000000"/>
          <w:kern w:val="0"/>
          <w:sz w:val="28"/>
          <w:szCs w:val="28"/>
        </w:rPr>
        <w:pict>
          <v:line id="_x0000_s1764" o:spid="_x0000_s1764" o:spt="20" style="position:absolute;left:0pt;margin-left:0.75pt;margin-top:2.75pt;height:0pt;width:441pt;z-index:251659264;mso-width-relative:page;mso-height-relative:page;" coordsize="21600,21600">
            <v:path arrowok="t"/>
            <v:fill focussize="0,0"/>
            <v:stroke weight="0.55pt"/>
            <v:imagedata o:title=""/>
            <o:lock v:ext="edit"/>
          </v:line>
        </w:pict>
      </w:r>
      <w:r>
        <w:rPr>
          <w:rFonts w:eastAsia="仿宋_GB2312"/>
          <w:color w:val="000000"/>
          <w:kern w:val="0"/>
          <w:sz w:val="28"/>
          <w:szCs w:val="28"/>
        </w:rPr>
        <w:t xml:space="preserve">  忻州市人民政府办公室                    2022年</w:t>
      </w:r>
      <w:r>
        <w:rPr>
          <w:rFonts w:hint="eastAsia" w:eastAsia="仿宋_GB2312"/>
          <w:color w:val="000000"/>
          <w:kern w:val="0"/>
          <w:sz w:val="28"/>
          <w:szCs w:val="28"/>
        </w:rPr>
        <w:t>12</w:t>
      </w:r>
      <w:r>
        <w:rPr>
          <w:rFonts w:eastAsia="仿宋_GB2312"/>
          <w:color w:val="000000"/>
          <w:kern w:val="0"/>
          <w:sz w:val="28"/>
          <w:szCs w:val="28"/>
        </w:rPr>
        <w:t>月</w:t>
      </w:r>
      <w:r>
        <w:rPr>
          <w:rFonts w:hint="eastAsia" w:eastAsia="仿宋_GB2312"/>
          <w:color w:val="000000"/>
          <w:kern w:val="0"/>
          <w:sz w:val="28"/>
          <w:szCs w:val="28"/>
        </w:rPr>
        <w:t>13</w:t>
      </w:r>
      <w:r>
        <w:rPr>
          <w:rFonts w:eastAsia="仿宋_GB2312"/>
          <w:color w:val="000000"/>
          <w:kern w:val="0"/>
          <w:sz w:val="28"/>
          <w:szCs w:val="28"/>
        </w:rPr>
        <w:t xml:space="preserve">日印发 </w:t>
      </w:r>
    </w:p>
    <w:p>
      <w:pPr>
        <w:spacing w:line="500" w:lineRule="exact"/>
      </w:pPr>
      <w:r>
        <w:rPr>
          <w:rFonts w:eastAsia="仿宋_GB2312"/>
          <w:color w:val="000000"/>
          <w:kern w:val="0"/>
          <w:sz w:val="28"/>
          <w:szCs w:val="28"/>
        </w:rPr>
        <w:drawing>
          <wp:anchor distT="0" distB="0" distL="114300" distR="114300" simplePos="0" relativeHeight="251662336" behindDoc="0" locked="0" layoutInCell="1" allowOverlap="1">
            <wp:simplePos x="0" y="0"/>
            <wp:positionH relativeFrom="page">
              <wp:posOffset>4817745</wp:posOffset>
            </wp:positionH>
            <wp:positionV relativeFrom="page">
              <wp:posOffset>9604375</wp:posOffset>
            </wp:positionV>
            <wp:extent cx="1780540" cy="497205"/>
            <wp:effectExtent l="19050" t="0" r="0" b="0"/>
            <wp:wrapNone/>
            <wp:docPr id="743" name="图片 85" descr="wps"/>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43" name="图片 85" descr="wps"/>
                    <pic:cNvPicPr>
                      <a:picLocks noChangeAspect="true" noChangeArrowheads="true"/>
                    </pic:cNvPicPr>
                  </pic:nvPicPr>
                  <pic:blipFill>
                    <a:blip r:embed="rId10"/>
                    <a:srcRect/>
                    <a:stretch>
                      <a:fillRect/>
                    </a:stretch>
                  </pic:blipFill>
                  <pic:spPr>
                    <a:xfrm>
                      <a:off x="0" y="0"/>
                      <a:ext cx="1780490" cy="497433"/>
                    </a:xfrm>
                    <a:prstGeom prst="rect">
                      <a:avLst/>
                    </a:prstGeom>
                    <a:noFill/>
                    <a:ln w="9525">
                      <a:noFill/>
                      <a:miter lim="800000"/>
                      <a:headEnd/>
                      <a:tailEnd/>
                    </a:ln>
                  </pic:spPr>
                </pic:pic>
              </a:graphicData>
            </a:graphic>
          </wp:anchor>
        </w:drawing>
      </w:r>
      <w:r>
        <w:rPr>
          <w:rFonts w:eastAsia="仿宋_GB2312"/>
          <w:color w:val="000000"/>
          <w:kern w:val="0"/>
          <w:sz w:val="28"/>
          <w:szCs w:val="28"/>
        </w:rPr>
        <w:pict>
          <v:line id="_x0000_s1765" o:spid="_x0000_s1765" o:spt="20" style="position:absolute;left:0pt;margin-left:0pt;margin-top:3.25pt;height:0pt;width:441pt;z-index:251660288;mso-width-relative:page;mso-height-relative:page;" coordsize="21600,21600">
            <v:path arrowok="t"/>
            <v:fill focussize="0,0"/>
            <v:stroke weight="0.95pt"/>
            <v:imagedata o:title=""/>
            <o:lock v:ext="edit"/>
          </v:line>
        </w:pict>
      </w:r>
      <w:r>
        <w:rPr>
          <w:rFonts w:eastAsia="仿宋_GB2312"/>
          <w:color w:val="000000"/>
          <w:kern w:val="0"/>
          <w:sz w:val="28"/>
          <w:szCs w:val="28"/>
        </w:rPr>
        <w:t xml:space="preserve">                                               </w:t>
      </w:r>
      <w:r>
        <w:rPr>
          <w:rFonts w:hint="eastAsia" w:eastAsia="仿宋_GB2312"/>
          <w:color w:val="000000"/>
          <w:kern w:val="0"/>
          <w:sz w:val="28"/>
          <w:szCs w:val="28"/>
        </w:rPr>
        <w:t xml:space="preserve"> </w:t>
      </w:r>
      <w:r>
        <w:rPr>
          <w:rFonts w:eastAsia="仿宋_GB2312"/>
          <w:color w:val="000000"/>
          <w:kern w:val="0"/>
          <w:sz w:val="28"/>
          <w:szCs w:val="28"/>
        </w:rPr>
        <w:t xml:space="preserve">    共印140份</w:t>
      </w:r>
    </w:p>
    <w:sectPr>
      <w:footerReference r:id="rId8" w:type="first"/>
      <w:pgSz w:w="11906" w:h="16838"/>
      <w:pgMar w:top="2098" w:right="1588" w:bottom="1701" w:left="1588" w:header="851" w:footer="1134" w:gutter="0"/>
      <w:pgNumType w:fmt="numberInDash" w:start="46"/>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0000000"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等线">
    <w:altName w:val="华文仿宋"/>
    <w:panose1 w:val="00000000000000000000"/>
    <w:charset w:val="86"/>
    <w:family w:val="auto"/>
    <w:pitch w:val="default"/>
    <w:sig w:usb0="00000000" w:usb1="00000000" w:usb2="00000016"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大标宋简体">
    <w:altName w:val="方正书宋_GBK"/>
    <w:panose1 w:val="02010601030101010101"/>
    <w:charset w:val="86"/>
    <w:family w:val="auto"/>
    <w:pitch w:val="default"/>
    <w:sig w:usb0="00000000" w:usb1="0000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Liberation Sans">
    <w:panose1 w:val="020B0604020202020204"/>
    <w:charset w:val="00"/>
    <w:family w:val="swiss"/>
    <w:pitch w:val="default"/>
    <w:sig w:usb0="A00002AF" w:usb1="500078FB" w:usb2="00000000" w:usb3="00000000" w:csb0="6000009F" w:csb1="DFD70000"/>
  </w:font>
  <w:font w:name="Noto Sans CJK SC Regular">
    <w:altName w:val="华文仿宋"/>
    <w:panose1 w:val="00000000000000000000"/>
    <w:charset w:val="86"/>
    <w:family w:val="auto"/>
    <w:pitch w:val="default"/>
    <w:sig w:usb0="00000000" w:usb1="00000000" w:usb2="00000016" w:usb3="00000000" w:csb0="602E0107" w:csb1="00000000"/>
  </w:font>
  <w:font w:name="sans-serif">
    <w:altName w:val="华文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Droid Sans Fallback">
    <w:panose1 w:val="020B0502000000000001"/>
    <w:charset w:val="86"/>
    <w:family w:val="auto"/>
    <w:pitch w:val="default"/>
    <w:sig w:usb0="910002FF" w:usb1="2BDFFCFB" w:usb2="00000036" w:usb3="00000000" w:csb0="203F01FF" w:csb1="D7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0890"/>
      <w:docPartObj>
        <w:docPartGallery w:val="AutoText"/>
      </w:docPartObj>
    </w:sdtPr>
    <w:sdtEndPr>
      <w:rPr>
        <w:rFonts w:asciiTheme="minorEastAsia" w:hAnsiTheme="minorEastAsia" w:eastAsiaTheme="minorEastAsia"/>
        <w:sz w:val="24"/>
      </w:rPr>
    </w:sdtEndPr>
    <w:sdtContent>
      <w:p>
        <w:pPr>
          <w:pStyle w:val="20"/>
          <w:jc w:val="right"/>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7 -</w:t>
        </w:r>
        <w:r>
          <w:rPr>
            <w:rFonts w:asciiTheme="minorEastAsia" w:hAnsiTheme="minorEastAsia" w:eastAsiaTheme="minorEastAsia"/>
            <w:sz w:val="24"/>
          </w:rP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0887"/>
      <w:docPartObj>
        <w:docPartGallery w:val="AutoText"/>
      </w:docPartObj>
    </w:sdtPr>
    <w:sdtEndPr>
      <w:rPr>
        <w:rFonts w:asciiTheme="minorEastAsia" w:hAnsiTheme="minorEastAsia" w:eastAsiaTheme="minorEastAsia"/>
        <w:sz w:val="24"/>
      </w:rPr>
    </w:sdtEndPr>
    <w:sdtContent>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6 -</w:t>
        </w:r>
        <w:r>
          <w:rPr>
            <w:rFonts w:asciiTheme="minorEastAsia" w:hAnsiTheme="minorEastAsia" w:eastAsiaTheme="minorEastAsia"/>
            <w:sz w:val="24"/>
          </w:rPr>
          <w:fldChar w:fldCharType="end"/>
        </w:r>
      </w:p>
    </w:sdtContent>
  </w:sdt>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0905"/>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41 -</w:t>
        </w:r>
        <w:r>
          <w:rPr>
            <w:rFonts w:asciiTheme="minorEastAsia" w:hAnsiTheme="minorEastAsia" w:eastAsiaTheme="minorEastAsia"/>
            <w:sz w:val="24"/>
          </w:rPr>
          <w:fldChar w:fldCharType="end"/>
        </w:r>
      </w:p>
    </w:sdtContent>
  </w:sdt>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0908"/>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42 -</w:t>
        </w:r>
        <w:r>
          <w:rPr>
            <w:rFonts w:asciiTheme="minorEastAsia" w:hAnsiTheme="minorEastAsia" w:eastAsiaTheme="minorEastAsia"/>
            <w:sz w:val="24"/>
          </w:rPr>
          <w:fldChar w:fldCharType="end"/>
        </w:r>
      </w:p>
    </w:sdtContent>
  </w:sdt>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50896"/>
      <w:docPartObj>
        <w:docPartGallery w:val="AutoText"/>
      </w:docPartObj>
    </w:sdtPr>
    <w:sdtEndPr>
      <w:rPr>
        <w:rFonts w:asciiTheme="minorEastAsia" w:hAnsiTheme="minorEastAsia" w:eastAsiaTheme="minorEastAsia"/>
        <w:sz w:val="24"/>
      </w:rPr>
    </w:sdtEndPr>
    <w:sdtContent>
      <w:p>
        <w:pPr>
          <w:pStyle w:val="20"/>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8 -</w:t>
        </w:r>
        <w:r>
          <w:rPr>
            <w:rFonts w:asciiTheme="minorEastAsia" w:hAnsiTheme="minorEastAsia" w:eastAsiaTheme="minorEastAsia"/>
            <w:sz w:val="24"/>
          </w:rPr>
          <w:fldChar w:fldCharType="end"/>
        </w:r>
      </w:p>
    </w:sdtContent>
  </w:sdt>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   \* MERGEFORMAT </w:instrText>
    </w:r>
    <w:r>
      <w:rPr>
        <w:rFonts w:asciiTheme="minorEastAsia" w:hAnsiTheme="minorEastAsia" w:eastAsiaTheme="minorEastAsia"/>
        <w:sz w:val="24"/>
      </w:rPr>
      <w:fldChar w:fldCharType="separate"/>
    </w:r>
    <w:r>
      <w:rPr>
        <w:rFonts w:asciiTheme="minorEastAsia" w:hAnsiTheme="minorEastAsia" w:eastAsiaTheme="minorEastAsia"/>
        <w:sz w:val="24"/>
        <w:lang w:val="zh-CN"/>
      </w:rPr>
      <w:t>-</w:t>
    </w:r>
    <w:r>
      <w:rPr>
        <w:rFonts w:asciiTheme="minorEastAsia" w:hAnsiTheme="minorEastAsia" w:eastAsiaTheme="minorEastAsia"/>
        <w:sz w:val="24"/>
      </w:rPr>
      <w:t xml:space="preserve"> 46 -</w:t>
    </w:r>
    <w:r>
      <w:rPr>
        <w:rFonts w:asciiTheme="minorEastAsia" w:hAnsiTheme="minorEastAsia" w:eastAsiaTheme="minorEastAsia"/>
        <w:sz w:val="24"/>
      </w:rPr>
      <w:fldChar w:fldCharType="end"/>
    </w:r>
  </w:p>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317"/>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36E"/>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3DE0"/>
    <w:rsid w:val="00084E81"/>
    <w:rsid w:val="00085CEF"/>
    <w:rsid w:val="00085F98"/>
    <w:rsid w:val="00086979"/>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6957"/>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71B"/>
    <w:rsid w:val="002C1B34"/>
    <w:rsid w:val="002C1FE5"/>
    <w:rsid w:val="002C22DD"/>
    <w:rsid w:val="002C232B"/>
    <w:rsid w:val="002C2349"/>
    <w:rsid w:val="002C2972"/>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988"/>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92B"/>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2BF"/>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5527"/>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9DA"/>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69D"/>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86"/>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0D6"/>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0F2F"/>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69C6"/>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3E1"/>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64D"/>
    <w:rsid w:val="007364D5"/>
    <w:rsid w:val="007367B7"/>
    <w:rsid w:val="00736CEA"/>
    <w:rsid w:val="0074023C"/>
    <w:rsid w:val="00740787"/>
    <w:rsid w:val="00740CE0"/>
    <w:rsid w:val="00741050"/>
    <w:rsid w:val="00741724"/>
    <w:rsid w:val="00741A52"/>
    <w:rsid w:val="00742FF1"/>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62E"/>
    <w:rsid w:val="007A0A59"/>
    <w:rsid w:val="007A0E13"/>
    <w:rsid w:val="007A1078"/>
    <w:rsid w:val="007A1412"/>
    <w:rsid w:val="007A28F9"/>
    <w:rsid w:val="007A38E7"/>
    <w:rsid w:val="007A42BF"/>
    <w:rsid w:val="007A518D"/>
    <w:rsid w:val="007A58C7"/>
    <w:rsid w:val="007A5CB9"/>
    <w:rsid w:val="007A5F11"/>
    <w:rsid w:val="007A6CB2"/>
    <w:rsid w:val="007A6CCC"/>
    <w:rsid w:val="007A6DA7"/>
    <w:rsid w:val="007A6E74"/>
    <w:rsid w:val="007A783D"/>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5F08"/>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803"/>
    <w:rsid w:val="009027D2"/>
    <w:rsid w:val="00903768"/>
    <w:rsid w:val="00903EFA"/>
    <w:rsid w:val="00904E7E"/>
    <w:rsid w:val="00905A2F"/>
    <w:rsid w:val="00905BE8"/>
    <w:rsid w:val="00906019"/>
    <w:rsid w:val="00906740"/>
    <w:rsid w:val="00906AF4"/>
    <w:rsid w:val="00907564"/>
    <w:rsid w:val="0090783E"/>
    <w:rsid w:val="00910439"/>
    <w:rsid w:val="00910CD4"/>
    <w:rsid w:val="00910FC7"/>
    <w:rsid w:val="00911832"/>
    <w:rsid w:val="00911C49"/>
    <w:rsid w:val="00912BB6"/>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190"/>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018"/>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5C03"/>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B80"/>
    <w:rsid w:val="00A15F2D"/>
    <w:rsid w:val="00A168DB"/>
    <w:rsid w:val="00A17369"/>
    <w:rsid w:val="00A1753D"/>
    <w:rsid w:val="00A200F2"/>
    <w:rsid w:val="00A20875"/>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578"/>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699"/>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556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1CF"/>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078B"/>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13F"/>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A68"/>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6A2"/>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DF79D3"/>
    <w:rsid w:val="00E00497"/>
    <w:rsid w:val="00E0061D"/>
    <w:rsid w:val="00E0107D"/>
    <w:rsid w:val="00E01114"/>
    <w:rsid w:val="00E0161A"/>
    <w:rsid w:val="00E019A8"/>
    <w:rsid w:val="00E01B0F"/>
    <w:rsid w:val="00E0214C"/>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976"/>
    <w:rsid w:val="00F95A29"/>
    <w:rsid w:val="00F96215"/>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10B"/>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 w:val="B63F1A4F"/>
    <w:rsid w:val="B6B754ED"/>
    <w:rsid w:val="BDE7502E"/>
    <w:rsid w:val="BFDF6E01"/>
    <w:rsid w:val="C5FF40F3"/>
    <w:rsid w:val="EFD93E34"/>
    <w:rsid w:val="F86F8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qFormat="1" w:unhideWhenUsed="0"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114"/>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19"/>
    <w:unhideWhenUsed/>
    <w:qFormat/>
    <w:uiPriority w:val="9"/>
    <w:pPr>
      <w:keepNext/>
      <w:keepLines/>
      <w:spacing w:before="280" w:after="290" w:line="376" w:lineRule="auto"/>
      <w:outlineLvl w:val="4"/>
    </w:pPr>
    <w:rPr>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unhideWhenUsed/>
    <w:qFormat/>
    <w:uiPriority w:val="0"/>
    <w:pPr>
      <w:spacing w:before="100" w:beforeAutospacing="1" w:after="100" w:afterAutospacing="1"/>
      <w:ind w:left="420" w:leftChars="200"/>
    </w:pPr>
    <w:rPr>
      <w:rFonts w:ascii="Calibri" w:hAnsi="Calibri" w:cs="Calibri"/>
      <w:sz w:val="32"/>
      <w:szCs w:val="32"/>
    </w:rPr>
  </w:style>
  <w:style w:type="paragraph" w:styleId="8">
    <w:name w:val="caption"/>
    <w:basedOn w:val="1"/>
    <w:next w:val="1"/>
    <w:qFormat/>
    <w:uiPriority w:val="0"/>
    <w:pPr>
      <w:suppressLineNumbers/>
      <w:suppressAutoHyphens/>
      <w:spacing w:before="120" w:after="120"/>
    </w:pPr>
    <w:rPr>
      <w:rFonts w:ascii="Calibri" w:hAnsi="Calibri"/>
      <w:i/>
      <w:iCs/>
      <w:sz w:val="24"/>
    </w:rPr>
  </w:style>
  <w:style w:type="paragraph" w:styleId="9">
    <w:name w:val="Document Map"/>
    <w:basedOn w:val="1"/>
    <w:link w:val="98"/>
    <w:qFormat/>
    <w:uiPriority w:val="0"/>
    <w:rPr>
      <w:rFonts w:ascii="宋体"/>
      <w:sz w:val="18"/>
      <w:szCs w:val="18"/>
    </w:rPr>
  </w:style>
  <w:style w:type="paragraph" w:styleId="10">
    <w:name w:val="toa heading"/>
    <w:basedOn w:val="1"/>
    <w:next w:val="1"/>
    <w:qFormat/>
    <w:uiPriority w:val="99"/>
    <w:pPr>
      <w:spacing w:before="120"/>
    </w:pPr>
    <w:rPr>
      <w:rFonts w:ascii="Calibri Light" w:hAnsi="Calibri Light"/>
      <w:sz w:val="24"/>
    </w:rPr>
  </w:style>
  <w:style w:type="paragraph" w:styleId="11">
    <w:name w:val="annotation text"/>
    <w:basedOn w:val="1"/>
    <w:link w:val="72"/>
    <w:qFormat/>
    <w:uiPriority w:val="99"/>
    <w:pPr>
      <w:jc w:val="left"/>
    </w:pPr>
    <w:rPr>
      <w:szCs w:val="20"/>
    </w:rPr>
  </w:style>
  <w:style w:type="paragraph" w:styleId="12">
    <w:name w:val="Body Text 3"/>
    <w:basedOn w:val="1"/>
    <w:link w:val="76"/>
    <w:qFormat/>
    <w:uiPriority w:val="0"/>
    <w:pPr>
      <w:spacing w:after="120"/>
    </w:pPr>
    <w:rPr>
      <w:sz w:val="16"/>
      <w:szCs w:val="16"/>
    </w:rPr>
  </w:style>
  <w:style w:type="paragraph" w:styleId="13">
    <w:name w:val="Body Text"/>
    <w:basedOn w:val="1"/>
    <w:link w:val="137"/>
    <w:qFormat/>
    <w:uiPriority w:val="0"/>
    <w:pPr>
      <w:spacing w:after="120"/>
    </w:pPr>
  </w:style>
  <w:style w:type="paragraph" w:styleId="14">
    <w:name w:val="Body Text Indent"/>
    <w:basedOn w:val="1"/>
    <w:link w:val="106"/>
    <w:qFormat/>
    <w:uiPriority w:val="0"/>
    <w:pPr>
      <w:ind w:firstLine="435"/>
    </w:pPr>
    <w:rPr>
      <w:rFonts w:eastAsia="仿宋_GB2312"/>
      <w:sz w:val="32"/>
    </w:rPr>
  </w:style>
  <w:style w:type="paragraph" w:styleId="15">
    <w:name w:val="toc 3"/>
    <w:basedOn w:val="1"/>
    <w:next w:val="1"/>
    <w:unhideWhenUsed/>
    <w:qFormat/>
    <w:uiPriority w:val="39"/>
    <w:pPr>
      <w:ind w:left="840" w:leftChars="400"/>
    </w:pPr>
  </w:style>
  <w:style w:type="paragraph" w:styleId="16">
    <w:name w:val="Plain Text"/>
    <w:basedOn w:val="1"/>
    <w:link w:val="111"/>
    <w:qFormat/>
    <w:uiPriority w:val="0"/>
    <w:rPr>
      <w:rFonts w:ascii="宋体" w:hAnsi="Courier New"/>
    </w:r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semiHidden/>
    <w:qFormat/>
    <w:uiPriority w:val="0"/>
    <w:rPr>
      <w:sz w:val="18"/>
      <w:szCs w:val="18"/>
    </w:rPr>
  </w:style>
  <w:style w:type="paragraph" w:styleId="20">
    <w:name w:val="footer"/>
    <w:basedOn w:val="1"/>
    <w:link w:val="54"/>
    <w:qFormat/>
    <w:uiPriority w:val="99"/>
    <w:pPr>
      <w:tabs>
        <w:tab w:val="center" w:pos="4153"/>
        <w:tab w:val="right" w:pos="8306"/>
      </w:tabs>
      <w:snapToGrid w:val="0"/>
      <w:jc w:val="left"/>
    </w:pPr>
    <w:rPr>
      <w:sz w:val="18"/>
    </w:rPr>
  </w:style>
  <w:style w:type="paragraph" w:styleId="21">
    <w:name w:val="header"/>
    <w:basedOn w:val="1"/>
    <w:link w:val="5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2">
    <w:name w:val="toc 1"/>
    <w:basedOn w:val="1"/>
    <w:next w:val="1"/>
    <w:unhideWhenUsed/>
    <w:qFormat/>
    <w:uiPriority w:val="39"/>
  </w:style>
  <w:style w:type="paragraph" w:styleId="23">
    <w:name w:val="Subtitle"/>
    <w:basedOn w:val="1"/>
    <w:next w:val="1"/>
    <w:link w:val="94"/>
    <w:qFormat/>
    <w:uiPriority w:val="11"/>
    <w:pPr>
      <w:spacing w:before="240" w:after="60" w:line="312" w:lineRule="auto"/>
      <w:jc w:val="center"/>
      <w:outlineLvl w:val="1"/>
    </w:pPr>
    <w:rPr>
      <w:rFonts w:ascii="Cambria" w:hAnsi="Cambria"/>
      <w:b/>
      <w:bCs/>
      <w:kern w:val="28"/>
      <w:sz w:val="32"/>
      <w:szCs w:val="32"/>
    </w:rPr>
  </w:style>
  <w:style w:type="paragraph" w:styleId="24">
    <w:name w:val="List"/>
    <w:basedOn w:val="13"/>
    <w:qFormat/>
    <w:uiPriority w:val="0"/>
    <w:pPr>
      <w:suppressAutoHyphens/>
      <w:spacing w:after="140" w:line="276" w:lineRule="auto"/>
    </w:pPr>
    <w:rPr>
      <w:rFonts w:ascii="Calibri" w:hAnsi="Calibri"/>
    </w:rPr>
  </w:style>
  <w:style w:type="paragraph" w:styleId="25">
    <w:name w:val="footnote text"/>
    <w:basedOn w:val="1"/>
    <w:link w:val="101"/>
    <w:unhideWhenUsed/>
    <w:qFormat/>
    <w:uiPriority w:val="99"/>
    <w:pPr>
      <w:snapToGrid w:val="0"/>
      <w:jc w:val="left"/>
    </w:pPr>
    <w:rPr>
      <w:rFonts w:ascii="等线" w:hAnsi="等线" w:eastAsia="等线" w:cs="黑体"/>
      <w:sz w:val="18"/>
      <w:szCs w:val="18"/>
    </w:rPr>
  </w:style>
  <w:style w:type="paragraph" w:styleId="26">
    <w:name w:val="Body Text Indent 3"/>
    <w:basedOn w:val="1"/>
    <w:qFormat/>
    <w:uiPriority w:val="0"/>
    <w:pPr>
      <w:spacing w:after="120"/>
      <w:ind w:left="420" w:leftChars="200"/>
    </w:pPr>
    <w:rPr>
      <w:sz w:val="16"/>
      <w:szCs w:val="16"/>
    </w:rPr>
  </w:style>
  <w:style w:type="paragraph" w:styleId="27">
    <w:name w:val="toc 2"/>
    <w:basedOn w:val="1"/>
    <w:next w:val="1"/>
    <w:qFormat/>
    <w:uiPriority w:val="39"/>
    <w:pPr>
      <w:ind w:left="420"/>
      <w:jc w:val="center"/>
    </w:pPr>
    <w:rPr>
      <w:rFonts w:ascii="楷体_GB2312" w:eastAsia="楷体_GB2312"/>
      <w:sz w:val="32"/>
    </w:rPr>
  </w:style>
  <w:style w:type="paragraph" w:styleId="28">
    <w:name w:val="Body Text 2"/>
    <w:basedOn w:val="1"/>
    <w:link w:val="90"/>
    <w:qFormat/>
    <w:uiPriority w:val="0"/>
    <w:pPr>
      <w:spacing w:after="120" w:line="480" w:lineRule="auto"/>
    </w:pPr>
  </w:style>
  <w:style w:type="paragraph" w:styleId="29">
    <w:name w:val="HTML Preformatted"/>
    <w:basedOn w:val="1"/>
    <w:link w:val="108"/>
    <w:unhideWhenUsed/>
    <w:qFormat/>
    <w:uiPriority w:val="0"/>
    <w:pPr>
      <w:widowControl/>
      <w:jc w:val="left"/>
    </w:pPr>
    <w:rPr>
      <w:rFonts w:ascii="宋体" w:hAnsi="宋体" w:cs="宋体"/>
      <w:kern w:val="0"/>
      <w:sz w:val="24"/>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link w:val="105"/>
    <w:qFormat/>
    <w:uiPriority w:val="10"/>
    <w:pPr>
      <w:spacing w:before="240" w:after="60"/>
      <w:jc w:val="center"/>
      <w:outlineLvl w:val="0"/>
    </w:pPr>
    <w:rPr>
      <w:rFonts w:ascii="Arial" w:hAnsi="Arial"/>
      <w:b/>
      <w:sz w:val="32"/>
    </w:rPr>
  </w:style>
  <w:style w:type="paragraph" w:styleId="32">
    <w:name w:val="Body Text First Indent 2"/>
    <w:basedOn w:val="14"/>
    <w:link w:val="107"/>
    <w:unhideWhenUsed/>
    <w:qFormat/>
    <w:uiPriority w:val="0"/>
    <w:pPr>
      <w:spacing w:after="120"/>
      <w:ind w:left="420" w:leftChars="200" w:firstLine="420" w:firstLineChars="200"/>
    </w:pPr>
    <w:rPr>
      <w:rFonts w:ascii="Calibri" w:hAnsi="Calibri" w:eastAsia="宋体"/>
      <w:sz w:val="21"/>
    </w:r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99"/>
  </w:style>
  <w:style w:type="character" w:styleId="38">
    <w:name w:val="Emphasis"/>
    <w:basedOn w:val="35"/>
    <w:qFormat/>
    <w:uiPriority w:val="0"/>
    <w:rPr>
      <w:i/>
      <w:iCs/>
    </w:rPr>
  </w:style>
  <w:style w:type="character" w:styleId="39">
    <w:name w:val="Hyperlink"/>
    <w:basedOn w:val="35"/>
    <w:qFormat/>
    <w:uiPriority w:val="99"/>
    <w:rPr>
      <w:color w:val="0000FF"/>
      <w:u w:val="single"/>
    </w:rPr>
  </w:style>
  <w:style w:type="character" w:customStyle="1" w:styleId="40">
    <w:name w:val="标题 1 Char"/>
    <w:basedOn w:val="35"/>
    <w:link w:val="2"/>
    <w:qFormat/>
    <w:locked/>
    <w:uiPriority w:val="9"/>
    <w:rPr>
      <w:rFonts w:eastAsia="宋体"/>
      <w:b/>
      <w:bCs/>
      <w:kern w:val="44"/>
      <w:sz w:val="44"/>
      <w:szCs w:val="44"/>
      <w:lang w:val="en-US" w:eastAsia="zh-CN" w:bidi="ar-SA"/>
    </w:rPr>
  </w:style>
  <w:style w:type="character" w:customStyle="1" w:styleId="41">
    <w:name w:val="标题 2 Char"/>
    <w:basedOn w:val="35"/>
    <w:link w:val="3"/>
    <w:qFormat/>
    <w:uiPriority w:val="9"/>
    <w:rPr>
      <w:rFonts w:ascii="Arial" w:hAnsi="Arial" w:eastAsia="黑体"/>
      <w:b/>
      <w:bCs/>
      <w:kern w:val="2"/>
      <w:sz w:val="32"/>
      <w:szCs w:val="32"/>
      <w:lang w:val="en-US" w:eastAsia="zh-CN" w:bidi="ar-SA"/>
    </w:rPr>
  </w:style>
  <w:style w:type="character" w:customStyle="1" w:styleId="42">
    <w:name w:val="标题 3 Char"/>
    <w:basedOn w:val="35"/>
    <w:link w:val="4"/>
    <w:qFormat/>
    <w:locked/>
    <w:uiPriority w:val="0"/>
    <w:rPr>
      <w:rFonts w:eastAsia="宋体"/>
      <w:b/>
      <w:bCs/>
      <w:kern w:val="2"/>
      <w:sz w:val="32"/>
      <w:szCs w:val="32"/>
      <w:lang w:val="en-US" w:eastAsia="zh-CN" w:bidi="ar-SA"/>
    </w:rPr>
  </w:style>
  <w:style w:type="paragraph" w:customStyle="1" w:styleId="43">
    <w:name w:val="_Style 5"/>
    <w:basedOn w:val="1"/>
    <w:qFormat/>
    <w:uiPriority w:val="0"/>
  </w:style>
  <w:style w:type="character" w:customStyle="1" w:styleId="44">
    <w:name w:val="ca-3"/>
    <w:basedOn w:val="35"/>
    <w:qFormat/>
    <w:uiPriority w:val="0"/>
  </w:style>
  <w:style w:type="character" w:customStyle="1" w:styleId="45">
    <w:name w:val="16"/>
    <w:basedOn w:val="35"/>
    <w:qFormat/>
    <w:uiPriority w:val="0"/>
  </w:style>
  <w:style w:type="character" w:customStyle="1" w:styleId="46">
    <w:name w:val="biaoti-61"/>
    <w:basedOn w:val="35"/>
    <w:qFormat/>
    <w:uiPriority w:val="0"/>
    <w:rPr>
      <w:b/>
      <w:bCs/>
      <w:color w:val="000066"/>
      <w:sz w:val="30"/>
      <w:szCs w:val="30"/>
    </w:rPr>
  </w:style>
  <w:style w:type="character" w:customStyle="1" w:styleId="47">
    <w:name w:val="scayt-misspell"/>
    <w:basedOn w:val="35"/>
    <w:qFormat/>
    <w:uiPriority w:val="0"/>
  </w:style>
  <w:style w:type="character" w:customStyle="1" w:styleId="48">
    <w:name w:val="ht1"/>
    <w:basedOn w:val="35"/>
    <w:qFormat/>
    <w:uiPriority w:val="0"/>
  </w:style>
  <w:style w:type="character" w:customStyle="1" w:styleId="49">
    <w:name w:val="我的正文 Char Char"/>
    <w:basedOn w:val="35"/>
    <w:link w:val="50"/>
    <w:qFormat/>
    <w:uiPriority w:val="0"/>
    <w:rPr>
      <w:rFonts w:ascii="楷体_GB2312" w:hAnsi="Arial" w:eastAsia="楷体_GB2312" w:cs="Arial"/>
      <w:kern w:val="2"/>
      <w:sz w:val="28"/>
      <w:szCs w:val="30"/>
      <w:lang w:val="en-US" w:eastAsia="zh-CN" w:bidi="ar-SA"/>
    </w:rPr>
  </w:style>
  <w:style w:type="paragraph" w:customStyle="1" w:styleId="50">
    <w:name w:val="我的正文"/>
    <w:basedOn w:val="1"/>
    <w:link w:val="49"/>
    <w:qFormat/>
    <w:uiPriority w:val="0"/>
    <w:pPr>
      <w:spacing w:line="360" w:lineRule="auto"/>
      <w:ind w:firstLine="200" w:firstLineChars="200"/>
    </w:pPr>
    <w:rPr>
      <w:rFonts w:ascii="楷体_GB2312" w:hAnsi="Arial" w:eastAsia="楷体_GB2312" w:cs="Arial"/>
      <w:sz w:val="28"/>
      <w:szCs w:val="30"/>
    </w:rPr>
  </w:style>
  <w:style w:type="character" w:customStyle="1" w:styleId="51">
    <w:name w:val="页眉 Char"/>
    <w:basedOn w:val="35"/>
    <w:link w:val="21"/>
    <w:qFormat/>
    <w:uiPriority w:val="0"/>
    <w:rPr>
      <w:rFonts w:eastAsia="宋体"/>
      <w:kern w:val="2"/>
      <w:sz w:val="18"/>
      <w:szCs w:val="24"/>
      <w:lang w:val="en-US" w:eastAsia="zh-CN" w:bidi="ar-SA"/>
    </w:rPr>
  </w:style>
  <w:style w:type="paragraph" w:customStyle="1" w:styleId="52">
    <w:name w:val="Char"/>
    <w:basedOn w:val="1"/>
    <w:qFormat/>
    <w:uiPriority w:val="0"/>
    <w:pPr>
      <w:widowControl/>
      <w:spacing w:after="160" w:line="240" w:lineRule="exact"/>
      <w:jc w:val="left"/>
    </w:pPr>
  </w:style>
  <w:style w:type="paragraph" w:customStyle="1" w:styleId="53">
    <w:name w:val="Char1"/>
    <w:basedOn w:val="1"/>
    <w:qFormat/>
    <w:uiPriority w:val="0"/>
    <w:pPr>
      <w:widowControl/>
      <w:adjustRightInd w:val="0"/>
      <w:spacing w:after="160" w:line="240" w:lineRule="exact"/>
      <w:jc w:val="left"/>
    </w:pPr>
  </w:style>
  <w:style w:type="character" w:customStyle="1" w:styleId="54">
    <w:name w:val="页脚 Char"/>
    <w:basedOn w:val="35"/>
    <w:link w:val="20"/>
    <w:qFormat/>
    <w:uiPriority w:val="99"/>
    <w:rPr>
      <w:rFonts w:eastAsia="宋体"/>
      <w:kern w:val="2"/>
      <w:sz w:val="18"/>
      <w:szCs w:val="24"/>
      <w:lang w:val="en-US" w:eastAsia="zh-CN" w:bidi="ar-SA"/>
    </w:rPr>
  </w:style>
  <w:style w:type="paragraph" w:customStyle="1" w:styleId="5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报告正文1"/>
    <w:basedOn w:val="1"/>
    <w:qFormat/>
    <w:uiPriority w:val="0"/>
    <w:pPr>
      <w:spacing w:line="580" w:lineRule="exact"/>
      <w:ind w:firstLine="200" w:firstLineChars="200"/>
    </w:pPr>
    <w:rPr>
      <w:rFonts w:eastAsia="方正仿宋_GBK" w:cs="宋体"/>
      <w:szCs w:val="20"/>
    </w:rPr>
  </w:style>
  <w:style w:type="paragraph" w:customStyle="1" w:styleId="57">
    <w:name w:val="Char Char Char1 Char Char Char Char Char Char Char Char Char Char Char Char Char Char Char Char Char Char Char"/>
    <w:basedOn w:val="1"/>
    <w:next w:val="1"/>
    <w:qFormat/>
    <w:uiPriority w:val="0"/>
    <w:pPr>
      <w:spacing w:line="360" w:lineRule="auto"/>
      <w:ind w:firstLine="200" w:firstLineChars="200"/>
    </w:pPr>
    <w:rPr>
      <w:rFonts w:ascii="宋体" w:hAnsi="宋体" w:cs="宋体"/>
      <w:sz w:val="24"/>
    </w:rPr>
  </w:style>
  <w:style w:type="paragraph" w:customStyle="1" w:styleId="58">
    <w:name w:val="Char Char Char1 Char"/>
    <w:basedOn w:val="1"/>
    <w:qFormat/>
    <w:uiPriority w:val="0"/>
    <w:pPr>
      <w:widowControl/>
      <w:spacing w:after="160" w:line="240" w:lineRule="exact"/>
      <w:jc w:val="left"/>
    </w:pPr>
  </w:style>
  <w:style w:type="paragraph" w:customStyle="1" w:styleId="59">
    <w:name w:val="标题5"/>
    <w:basedOn w:val="1"/>
    <w:next w:val="1"/>
    <w:qFormat/>
    <w:uiPriority w:val="0"/>
    <w:pPr>
      <w:keepNext/>
      <w:widowControl/>
      <w:spacing w:before="100" w:beforeAutospacing="1" w:after="100" w:afterAutospacing="1" w:line="240" w:lineRule="exact"/>
      <w:ind w:firstLine="360" w:firstLineChars="150"/>
      <w:jc w:val="left"/>
    </w:pPr>
  </w:style>
  <w:style w:type="paragraph" w:customStyle="1" w:styleId="60">
    <w:name w:val="p0"/>
    <w:basedOn w:val="1"/>
    <w:qFormat/>
    <w:uiPriority w:val="0"/>
    <w:pPr>
      <w:widowControl/>
      <w:spacing w:line="365" w:lineRule="atLeast"/>
      <w:ind w:left="1"/>
      <w:textAlignment w:val="bottom"/>
    </w:pPr>
    <w:rPr>
      <w:kern w:val="0"/>
      <w:sz w:val="20"/>
    </w:rPr>
  </w:style>
  <w:style w:type="paragraph" w:customStyle="1" w:styleId="61">
    <w:name w:val="p15"/>
    <w:basedOn w:val="1"/>
    <w:qFormat/>
    <w:uiPriority w:val="0"/>
    <w:pPr>
      <w:widowControl/>
    </w:pPr>
    <w:rPr>
      <w:kern w:val="0"/>
      <w:szCs w:val="21"/>
    </w:rPr>
  </w:style>
  <w:style w:type="paragraph" w:customStyle="1" w:styleId="62">
    <w:name w:val="列出段落1"/>
    <w:basedOn w:val="1"/>
    <w:qFormat/>
    <w:uiPriority w:val="34"/>
    <w:pPr>
      <w:ind w:firstLine="420" w:firstLineChars="200"/>
    </w:pPr>
  </w:style>
  <w:style w:type="paragraph" w:customStyle="1" w:styleId="63">
    <w:name w:val="Char1 Char Char Char"/>
    <w:basedOn w:val="1"/>
    <w:qFormat/>
    <w:uiPriority w:val="0"/>
    <w:pPr>
      <w:spacing w:line="360" w:lineRule="auto"/>
    </w:pPr>
  </w:style>
  <w:style w:type="paragraph" w:customStyle="1" w:styleId="64">
    <w:name w:val="w1"/>
    <w:basedOn w:val="1"/>
    <w:qFormat/>
    <w:uiPriority w:val="0"/>
    <w:pPr>
      <w:spacing w:line="360" w:lineRule="exact"/>
      <w:ind w:firstLine="551" w:firstLineChars="196"/>
    </w:pPr>
    <w:rPr>
      <w:rFonts w:ascii="仿宋_GB2312" w:hAnsi="宋体" w:eastAsia="仿宋_GB2312" w:cs="宋体"/>
      <w:b/>
      <w:sz w:val="28"/>
      <w:szCs w:val="28"/>
    </w:rPr>
  </w:style>
  <w:style w:type="paragraph" w:customStyle="1" w:styleId="65">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6">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默认段落字体 Para Char Char Char Char"/>
    <w:basedOn w:val="1"/>
    <w:qFormat/>
    <w:uiPriority w:val="0"/>
  </w:style>
  <w:style w:type="character" w:customStyle="1" w:styleId="72">
    <w:name w:val="批注文字 Char"/>
    <w:basedOn w:val="35"/>
    <w:link w:val="11"/>
    <w:qFormat/>
    <w:uiPriority w:val="99"/>
    <w:rPr>
      <w:kern w:val="2"/>
      <w:sz w:val="21"/>
    </w:rPr>
  </w:style>
  <w:style w:type="character" w:customStyle="1" w:styleId="73">
    <w:name w:val="font121"/>
    <w:basedOn w:val="35"/>
    <w:qFormat/>
    <w:uiPriority w:val="0"/>
    <w:rPr>
      <w:sz w:val="18"/>
      <w:szCs w:val="18"/>
    </w:rPr>
  </w:style>
  <w:style w:type="paragraph" w:customStyle="1" w:styleId="74">
    <w:name w:val="p16"/>
    <w:basedOn w:val="1"/>
    <w:qFormat/>
    <w:uiPriority w:val="0"/>
    <w:pPr>
      <w:widowControl/>
    </w:pPr>
    <w:rPr>
      <w:rFonts w:ascii="宋体" w:hAnsi="宋体" w:cs="宋体"/>
      <w:kern w:val="0"/>
      <w:szCs w:val="21"/>
    </w:rPr>
  </w:style>
  <w:style w:type="paragraph" w:customStyle="1" w:styleId="75">
    <w:name w:val="p17"/>
    <w:basedOn w:val="1"/>
    <w:qFormat/>
    <w:uiPriority w:val="0"/>
    <w:pPr>
      <w:widowControl/>
      <w:jc w:val="left"/>
    </w:pPr>
    <w:rPr>
      <w:rFonts w:ascii="宋体" w:hAnsi="宋体" w:cs="宋体"/>
      <w:kern w:val="0"/>
      <w:sz w:val="24"/>
    </w:rPr>
  </w:style>
  <w:style w:type="character" w:customStyle="1" w:styleId="76">
    <w:name w:val="正文文本 3 Char"/>
    <w:basedOn w:val="35"/>
    <w:link w:val="12"/>
    <w:qFormat/>
    <w:uiPriority w:val="0"/>
    <w:rPr>
      <w:rFonts w:eastAsia="宋体"/>
      <w:kern w:val="2"/>
      <w:sz w:val="16"/>
      <w:szCs w:val="16"/>
      <w:lang w:val="en-US" w:eastAsia="zh-CN" w:bidi="ar-SA"/>
    </w:rPr>
  </w:style>
  <w:style w:type="paragraph" w:customStyle="1" w:styleId="7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Char Char Char Char Char Char Char Char Char Char Char Char Char"/>
    <w:basedOn w:val="1"/>
    <w:qFormat/>
    <w:uiPriority w:val="0"/>
    <w:pPr>
      <w:adjustRightInd w:val="0"/>
      <w:snapToGrid w:val="0"/>
      <w:spacing w:line="360" w:lineRule="auto"/>
      <w:ind w:firstLine="200" w:firstLineChars="200"/>
    </w:pPr>
  </w:style>
  <w:style w:type="paragraph" w:customStyle="1" w:styleId="79">
    <w:name w:val="style1"/>
    <w:basedOn w:val="1"/>
    <w:qFormat/>
    <w:uiPriority w:val="0"/>
    <w:pPr>
      <w:widowControl/>
      <w:spacing w:before="100" w:beforeAutospacing="1" w:after="100" w:afterAutospacing="1"/>
      <w:jc w:val="left"/>
    </w:pPr>
    <w:rPr>
      <w:rFonts w:ascii="宋体" w:hAnsi="宋体"/>
      <w:kern w:val="0"/>
      <w:sz w:val="18"/>
    </w:rPr>
  </w:style>
  <w:style w:type="paragraph" w:customStyle="1" w:styleId="80">
    <w:name w:val="Char Char Char Char"/>
    <w:basedOn w:val="1"/>
    <w:qFormat/>
    <w:uiPriority w:val="0"/>
  </w:style>
  <w:style w:type="character" w:customStyle="1" w:styleId="81">
    <w:name w:val="15"/>
    <w:basedOn w:val="35"/>
    <w:qFormat/>
    <w:uiPriority w:val="0"/>
    <w:rPr>
      <w:rFonts w:hint="default" w:ascii="Times New Roman" w:hAnsi="Times New Roman" w:cs="Times New Roman"/>
      <w:b/>
      <w:bCs/>
      <w:sz w:val="20"/>
      <w:szCs w:val="20"/>
    </w:rPr>
  </w:style>
  <w:style w:type="character" w:customStyle="1" w:styleId="82">
    <w:name w:val="Character Style 2"/>
    <w:qFormat/>
    <w:uiPriority w:val="0"/>
    <w:rPr>
      <w:rFonts w:cs="Times New Roman"/>
    </w:rPr>
  </w:style>
  <w:style w:type="paragraph" w:customStyle="1" w:styleId="83">
    <w:name w:val="Style 1"/>
    <w:qFormat/>
    <w:uiPriority w:val="0"/>
    <w:pPr>
      <w:widowControl w:val="0"/>
      <w:autoSpaceDE w:val="0"/>
      <w:autoSpaceDN w:val="0"/>
    </w:pPr>
    <w:rPr>
      <w:rFonts w:ascii="Times New Roman" w:hAnsi="Times New Roman" w:eastAsia="宋体" w:cs="Times New Roman"/>
      <w:sz w:val="24"/>
      <w:szCs w:val="24"/>
      <w:lang w:val="en-US" w:eastAsia="zh-CN" w:bidi="hi-IN"/>
    </w:rPr>
  </w:style>
  <w:style w:type="character" w:customStyle="1" w:styleId="84">
    <w:name w:val="apple-converted-space"/>
    <w:basedOn w:val="35"/>
    <w:qFormat/>
    <w:uiPriority w:val="0"/>
  </w:style>
  <w:style w:type="paragraph" w:customStyle="1" w:styleId="85">
    <w:name w:val="列出段落11"/>
    <w:basedOn w:val="1"/>
    <w:qFormat/>
    <w:uiPriority w:val="34"/>
    <w:pPr>
      <w:ind w:firstLine="420" w:firstLineChars="200"/>
    </w:pPr>
    <w:rPr>
      <w:rFonts w:ascii="Calibri" w:hAnsi="Calibri" w:cs="黑体"/>
      <w:szCs w:val="22"/>
    </w:rPr>
  </w:style>
  <w:style w:type="character" w:customStyle="1" w:styleId="86">
    <w:name w:val="Header Char"/>
    <w:basedOn w:val="35"/>
    <w:semiHidden/>
    <w:qFormat/>
    <w:locked/>
    <w:uiPriority w:val="0"/>
    <w:rPr>
      <w:rFonts w:eastAsia="宋体"/>
      <w:kern w:val="2"/>
      <w:sz w:val="18"/>
      <w:szCs w:val="18"/>
      <w:lang w:val="en-US" w:eastAsia="zh-CN" w:bidi="ar-SA"/>
    </w:rPr>
  </w:style>
  <w:style w:type="character" w:customStyle="1" w:styleId="87">
    <w:name w:val="Footer Char"/>
    <w:basedOn w:val="35"/>
    <w:semiHidden/>
    <w:qFormat/>
    <w:locked/>
    <w:uiPriority w:val="0"/>
    <w:rPr>
      <w:rFonts w:eastAsia="宋体"/>
      <w:kern w:val="2"/>
      <w:sz w:val="18"/>
      <w:szCs w:val="18"/>
      <w:lang w:val="en-US" w:eastAsia="zh-CN" w:bidi="ar-SA"/>
    </w:rPr>
  </w:style>
  <w:style w:type="paragraph" w:customStyle="1" w:styleId="88">
    <w:name w:val="p18"/>
    <w:basedOn w:val="1"/>
    <w:qFormat/>
    <w:uiPriority w:val="0"/>
    <w:pPr>
      <w:widowControl/>
    </w:pPr>
    <w:rPr>
      <w:kern w:val="0"/>
      <w:szCs w:val="21"/>
    </w:rPr>
  </w:style>
  <w:style w:type="paragraph" w:styleId="89">
    <w:name w:val="List Paragraph"/>
    <w:basedOn w:val="1"/>
    <w:qFormat/>
    <w:uiPriority w:val="34"/>
    <w:pPr>
      <w:ind w:firstLine="420" w:firstLineChars="200"/>
    </w:pPr>
    <w:rPr>
      <w:rFonts w:ascii="Calibri" w:hAnsi="Calibri"/>
      <w:szCs w:val="22"/>
    </w:rPr>
  </w:style>
  <w:style w:type="character" w:customStyle="1" w:styleId="90">
    <w:name w:val="正文文本 2 Char"/>
    <w:basedOn w:val="35"/>
    <w:link w:val="28"/>
    <w:qFormat/>
    <w:uiPriority w:val="0"/>
    <w:rPr>
      <w:kern w:val="2"/>
      <w:sz w:val="21"/>
      <w:szCs w:val="24"/>
    </w:rPr>
  </w:style>
  <w:style w:type="character" w:customStyle="1" w:styleId="91">
    <w:name w:val="副标题 Char"/>
    <w:basedOn w:val="35"/>
    <w:link w:val="23"/>
    <w:qFormat/>
    <w:uiPriority w:val="0"/>
    <w:rPr>
      <w:rFonts w:ascii="Cambria" w:hAnsi="Cambria"/>
      <w:b/>
      <w:bCs/>
      <w:kern w:val="28"/>
      <w:sz w:val="32"/>
      <w:szCs w:val="32"/>
    </w:rPr>
  </w:style>
  <w:style w:type="character" w:customStyle="1" w:styleId="92">
    <w:name w:val="Char Char"/>
    <w:basedOn w:val="35"/>
    <w:qFormat/>
    <w:locked/>
    <w:uiPriority w:val="0"/>
    <w:rPr>
      <w:rFonts w:ascii="Cambria" w:hAnsi="Cambria" w:cs="Times New Roman"/>
      <w:b/>
      <w:bCs/>
      <w:kern w:val="28"/>
      <w:sz w:val="32"/>
      <w:szCs w:val="32"/>
    </w:rPr>
  </w:style>
  <w:style w:type="paragraph" w:customStyle="1" w:styleId="93">
    <w:name w:val="Char Char Char Char Char Char Char Char Char Char Char Char Char Char Char Char Char Char Char Char Char"/>
    <w:basedOn w:val="1"/>
    <w:qFormat/>
    <w:uiPriority w:val="0"/>
    <w:pPr>
      <w:widowControl/>
      <w:spacing w:after="160" w:line="240" w:lineRule="exact"/>
      <w:jc w:val="left"/>
    </w:pPr>
  </w:style>
  <w:style w:type="character" w:customStyle="1" w:styleId="94">
    <w:name w:val="副标题 Char1"/>
    <w:basedOn w:val="35"/>
    <w:link w:val="23"/>
    <w:qFormat/>
    <w:uiPriority w:val="0"/>
    <w:rPr>
      <w:rFonts w:ascii="Cambria" w:hAnsi="Cambria" w:cs="Times New Roman"/>
      <w:b/>
      <w:bCs/>
      <w:kern w:val="28"/>
      <w:sz w:val="32"/>
      <w:szCs w:val="32"/>
    </w:rPr>
  </w:style>
  <w:style w:type="paragraph" w:styleId="95">
    <w:name w:val="No Spacing"/>
    <w:link w:val="96"/>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无间隔 Char"/>
    <w:basedOn w:val="35"/>
    <w:link w:val="95"/>
    <w:qFormat/>
    <w:uiPriority w:val="1"/>
    <w:rPr>
      <w:kern w:val="2"/>
      <w:sz w:val="21"/>
      <w:szCs w:val="24"/>
      <w:lang w:val="en-US" w:eastAsia="zh-CN" w:bidi="ar-SA"/>
    </w:rPr>
  </w:style>
  <w:style w:type="paragraph" w:customStyle="1" w:styleId="97">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8">
    <w:name w:val="文档结构图 Char"/>
    <w:basedOn w:val="35"/>
    <w:link w:val="9"/>
    <w:qFormat/>
    <w:uiPriority w:val="0"/>
    <w:rPr>
      <w:rFonts w:ascii="宋体"/>
      <w:kern w:val="2"/>
      <w:sz w:val="18"/>
      <w:szCs w:val="18"/>
    </w:rPr>
  </w:style>
  <w:style w:type="paragraph" w:customStyle="1" w:styleId="99">
    <w:name w:val="样式 标题 1 + 两端对齐 首行缩进:  2 字符"/>
    <w:basedOn w:val="2"/>
    <w:qFormat/>
    <w:uiPriority w:val="0"/>
    <w:pPr>
      <w:spacing w:line="240" w:lineRule="auto"/>
    </w:pPr>
    <w:rPr>
      <w:rFonts w:eastAsia="方正大标宋简体" w:cs="宋体"/>
      <w:szCs w:val="20"/>
    </w:rPr>
  </w:style>
  <w:style w:type="paragraph" w:customStyle="1" w:styleId="100">
    <w:name w:val="样式 标题 1 + 首行缩进:  2 字符"/>
    <w:basedOn w:val="2"/>
    <w:qFormat/>
    <w:uiPriority w:val="0"/>
    <w:pPr>
      <w:spacing w:line="240" w:lineRule="auto"/>
      <w:jc w:val="center"/>
    </w:pPr>
    <w:rPr>
      <w:rFonts w:eastAsia="方正大标宋简体" w:cs="宋体"/>
      <w:szCs w:val="20"/>
    </w:rPr>
  </w:style>
  <w:style w:type="character" w:customStyle="1" w:styleId="101">
    <w:name w:val="脚注文本 Char"/>
    <w:basedOn w:val="35"/>
    <w:link w:val="25"/>
    <w:qFormat/>
    <w:uiPriority w:val="99"/>
    <w:rPr>
      <w:rFonts w:ascii="等线" w:hAnsi="等线" w:eastAsia="等线" w:cs="黑体"/>
      <w:kern w:val="2"/>
      <w:sz w:val="18"/>
      <w:szCs w:val="18"/>
    </w:rPr>
  </w:style>
  <w:style w:type="character" w:customStyle="1" w:styleId="102">
    <w:name w:val="NormalCharacter"/>
    <w:qFormat/>
    <w:uiPriority w:val="0"/>
  </w:style>
  <w:style w:type="paragraph" w:customStyle="1" w:styleId="103">
    <w:name w:val="正文首行缩进 21"/>
    <w:basedOn w:val="1"/>
    <w:next w:val="30"/>
    <w:qFormat/>
    <w:uiPriority w:val="0"/>
    <w:pPr>
      <w:widowControl/>
      <w:ind w:left="200" w:leftChars="200" w:firstLine="200" w:firstLineChars="200"/>
      <w:jc w:val="left"/>
    </w:pPr>
    <w:rPr>
      <w:rFonts w:ascii="Calibri" w:hAnsi="Calibri" w:eastAsia="仿宋_GB2312" w:cs="Calibri"/>
      <w:kern w:val="0"/>
      <w:sz w:val="24"/>
    </w:rPr>
  </w:style>
  <w:style w:type="paragraph" w:customStyle="1" w:styleId="104">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5">
    <w:name w:val="标题 Char"/>
    <w:basedOn w:val="35"/>
    <w:link w:val="31"/>
    <w:qFormat/>
    <w:uiPriority w:val="0"/>
    <w:rPr>
      <w:rFonts w:ascii="Arial" w:hAnsi="Arial"/>
      <w:b/>
      <w:kern w:val="2"/>
      <w:sz w:val="32"/>
      <w:szCs w:val="24"/>
    </w:rPr>
  </w:style>
  <w:style w:type="character" w:customStyle="1" w:styleId="106">
    <w:name w:val="正文文本缩进 Char"/>
    <w:basedOn w:val="35"/>
    <w:link w:val="14"/>
    <w:qFormat/>
    <w:uiPriority w:val="0"/>
    <w:rPr>
      <w:rFonts w:eastAsia="仿宋_GB2312"/>
      <w:kern w:val="2"/>
      <w:sz w:val="32"/>
      <w:szCs w:val="24"/>
    </w:rPr>
  </w:style>
  <w:style w:type="character" w:customStyle="1" w:styleId="107">
    <w:name w:val="正文首行缩进 2 Char"/>
    <w:basedOn w:val="106"/>
    <w:link w:val="32"/>
    <w:qFormat/>
    <w:uiPriority w:val="99"/>
    <w:rPr>
      <w:rFonts w:ascii="Calibri" w:hAnsi="Calibri"/>
      <w:sz w:val="21"/>
    </w:rPr>
  </w:style>
  <w:style w:type="character" w:customStyle="1" w:styleId="108">
    <w:name w:val="HTML 预设格式 Char"/>
    <w:basedOn w:val="35"/>
    <w:link w:val="29"/>
    <w:qFormat/>
    <w:uiPriority w:val="0"/>
    <w:rPr>
      <w:rFonts w:ascii="宋体" w:hAnsi="宋体" w:cs="宋体"/>
      <w:sz w:val="24"/>
      <w:szCs w:val="24"/>
    </w:rPr>
  </w:style>
  <w:style w:type="paragraph" w:customStyle="1" w:styleId="109">
    <w:name w:val="List Paragraph1"/>
    <w:basedOn w:val="1"/>
    <w:qFormat/>
    <w:uiPriority w:val="0"/>
    <w:pPr>
      <w:widowControl/>
      <w:ind w:firstLine="420" w:firstLineChars="200"/>
    </w:pPr>
    <w:rPr>
      <w:rFonts w:ascii="Calibri" w:hAnsi="Calibri" w:cs="Calibri"/>
      <w:szCs w:val="21"/>
    </w:rPr>
  </w:style>
  <w:style w:type="paragraph" w:customStyle="1" w:styleId="110">
    <w:name w:val="列出段落2"/>
    <w:basedOn w:val="1"/>
    <w:unhideWhenUsed/>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111">
    <w:name w:val="纯文本 Char"/>
    <w:basedOn w:val="35"/>
    <w:link w:val="16"/>
    <w:qFormat/>
    <w:locked/>
    <w:uiPriority w:val="99"/>
    <w:rPr>
      <w:rFonts w:ascii="宋体" w:hAnsi="Courier New"/>
      <w:kern w:val="2"/>
      <w:sz w:val="21"/>
      <w:szCs w:val="24"/>
    </w:rPr>
  </w:style>
  <w:style w:type="character" w:customStyle="1" w:styleId="112">
    <w:name w:val="font51"/>
    <w:basedOn w:val="35"/>
    <w:qFormat/>
    <w:uiPriority w:val="0"/>
    <w:rPr>
      <w:rFonts w:hint="eastAsia" w:ascii="仿宋" w:hAnsi="仿宋" w:eastAsia="仿宋" w:cs="仿宋"/>
      <w:color w:val="000000"/>
      <w:sz w:val="32"/>
      <w:szCs w:val="32"/>
      <w:u w:val="none"/>
    </w:rPr>
  </w:style>
  <w:style w:type="character" w:customStyle="1" w:styleId="113">
    <w:name w:val="font41"/>
    <w:basedOn w:val="35"/>
    <w:qFormat/>
    <w:uiPriority w:val="0"/>
    <w:rPr>
      <w:rFonts w:hint="eastAsia" w:ascii="仿宋" w:hAnsi="仿宋" w:eastAsia="仿宋" w:cs="仿宋"/>
      <w:color w:val="0C0C0C"/>
      <w:sz w:val="32"/>
      <w:szCs w:val="32"/>
      <w:u w:val="none"/>
    </w:rPr>
  </w:style>
  <w:style w:type="character" w:customStyle="1" w:styleId="114">
    <w:name w:val="标题 4 Char"/>
    <w:basedOn w:val="35"/>
    <w:link w:val="5"/>
    <w:qFormat/>
    <w:uiPriority w:val="0"/>
    <w:rPr>
      <w:rFonts w:ascii="Cambria" w:hAnsi="Cambria"/>
      <w:b/>
      <w:bCs/>
      <w:kern w:val="2"/>
      <w:sz w:val="28"/>
      <w:szCs w:val="28"/>
    </w:rPr>
  </w:style>
  <w:style w:type="character" w:customStyle="1" w:styleId="115">
    <w:name w:val="font31"/>
    <w:qFormat/>
    <w:uiPriority w:val="0"/>
    <w:rPr>
      <w:rFonts w:hint="eastAsia" w:ascii="黑体" w:hAnsi="宋体" w:eastAsia="黑体" w:cs="黑体"/>
      <w:b/>
      <w:color w:val="000000"/>
      <w:sz w:val="24"/>
      <w:szCs w:val="24"/>
      <w:u w:val="none"/>
    </w:rPr>
  </w:style>
  <w:style w:type="paragraph" w:customStyle="1" w:styleId="116">
    <w:name w:val="Body text (2)"/>
    <w:basedOn w:val="1"/>
    <w:qFormat/>
    <w:uiPriority w:val="0"/>
    <w:pPr>
      <w:shd w:val="clear" w:color="auto" w:fill="FFFFFF"/>
      <w:spacing w:line="533" w:lineRule="exact"/>
      <w:jc w:val="distribute"/>
    </w:pPr>
    <w:rPr>
      <w:rFonts w:ascii="PMingLiU" w:hAnsi="PMingLiU" w:eastAsia="PMingLiU" w:cs="PMingLiU"/>
      <w:sz w:val="28"/>
      <w:szCs w:val="28"/>
    </w:rPr>
  </w:style>
  <w:style w:type="paragraph" w:customStyle="1" w:styleId="117">
    <w:name w:val="引文目录1"/>
    <w:qFormat/>
    <w:uiPriority w:val="0"/>
    <w:pPr>
      <w:ind w:left="420" w:leftChars="200"/>
    </w:pPr>
    <w:rPr>
      <w:rFonts w:ascii="Times New Roman" w:hAnsi="Times New Roman" w:eastAsia="宋体" w:cs="Times New Roman"/>
      <w:sz w:val="32"/>
      <w:szCs w:val="32"/>
      <w:lang w:val="en-US" w:eastAsia="zh-CN" w:bidi="ar-SA"/>
    </w:rPr>
  </w:style>
  <w:style w:type="paragraph" w:customStyle="1" w:styleId="118">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19">
    <w:name w:val="标题 5 Char"/>
    <w:basedOn w:val="35"/>
    <w:link w:val="6"/>
    <w:semiHidden/>
    <w:qFormat/>
    <w:uiPriority w:val="0"/>
    <w:rPr>
      <w:b/>
      <w:bCs/>
      <w:kern w:val="2"/>
      <w:sz w:val="28"/>
      <w:szCs w:val="28"/>
    </w:rPr>
  </w:style>
  <w:style w:type="paragraph" w:customStyle="1" w:styleId="120">
    <w:name w:val="TableOfAuthoring"/>
    <w:basedOn w:val="1"/>
    <w:next w:val="1"/>
    <w:qFormat/>
    <w:uiPriority w:val="0"/>
    <w:pPr>
      <w:ind w:left="420" w:leftChars="200"/>
      <w:textAlignment w:val="baseline"/>
    </w:pPr>
  </w:style>
  <w:style w:type="paragraph" w:customStyle="1" w:styleId="121">
    <w:name w:val="Heading5"/>
    <w:basedOn w:val="1"/>
    <w:next w:val="1"/>
    <w:qFormat/>
    <w:uiPriority w:val="0"/>
    <w:pPr>
      <w:snapToGrid w:val="0"/>
      <w:spacing w:line="360" w:lineRule="auto"/>
      <w:ind w:firstLine="200" w:firstLineChars="200"/>
      <w:textAlignment w:val="baseline"/>
    </w:pPr>
    <w:rPr>
      <w:rFonts w:ascii="仿宋_GB2312" w:hAnsi="Calibri" w:eastAsia="仿宋_GB2312"/>
      <w:sz w:val="32"/>
      <w:szCs w:val="28"/>
    </w:rPr>
  </w:style>
  <w:style w:type="paragraph" w:customStyle="1" w:styleId="122">
    <w:name w:val="Body Text First Indent 21"/>
    <w:basedOn w:val="1"/>
    <w:qFormat/>
    <w:uiPriority w:val="0"/>
    <w:pPr>
      <w:spacing w:after="120"/>
      <w:ind w:left="420" w:leftChars="200" w:firstLine="420" w:firstLineChars="200"/>
    </w:pPr>
  </w:style>
  <w:style w:type="paragraph" w:customStyle="1" w:styleId="123">
    <w:name w:val="无间隔1"/>
    <w:qFormat/>
    <w:uiPriority w:val="0"/>
    <w:pPr>
      <w:widowControl w:val="0"/>
      <w:ind w:firstLine="200"/>
      <w:jc w:val="both"/>
    </w:pPr>
    <w:rPr>
      <w:rFonts w:ascii="Calibri" w:hAnsi="Calibri" w:eastAsia="Calibri" w:cs="Calibri"/>
      <w:color w:val="000000"/>
      <w:kern w:val="2"/>
      <w:sz w:val="21"/>
      <w:szCs w:val="21"/>
      <w:lang w:val="en-US" w:eastAsia="zh-CN" w:bidi="ar-SA"/>
    </w:rPr>
  </w:style>
  <w:style w:type="paragraph" w:customStyle="1" w:styleId="124">
    <w:name w:val="BodyText"/>
    <w:basedOn w:val="1"/>
    <w:qFormat/>
    <w:uiPriority w:val="0"/>
    <w:pPr>
      <w:spacing w:after="120"/>
      <w:textAlignment w:val="baseline"/>
    </w:pPr>
    <w:rPr>
      <w:szCs w:val="20"/>
    </w:rPr>
  </w:style>
  <w:style w:type="paragraph" w:customStyle="1" w:styleId="125">
    <w:name w:val="二级标题 Char Char Char"/>
    <w:basedOn w:val="1"/>
    <w:next w:val="1"/>
    <w:qFormat/>
    <w:uiPriority w:val="0"/>
    <w:pPr>
      <w:ind w:firstLine="200" w:firstLineChars="200"/>
    </w:pPr>
    <w:rPr>
      <w:rFonts w:eastAsia="Times New Roman"/>
      <w:kern w:val="0"/>
      <w:sz w:val="20"/>
    </w:rPr>
  </w:style>
  <w:style w:type="paragraph" w:customStyle="1" w:styleId="126">
    <w:name w:val="文本"/>
    <w:basedOn w:val="1"/>
    <w:next w:val="1"/>
    <w:qFormat/>
    <w:uiPriority w:val="0"/>
    <w:pPr>
      <w:spacing w:line="360" w:lineRule="auto"/>
    </w:pPr>
    <w:rPr>
      <w:rFonts w:ascii="宋体"/>
      <w:spacing w:val="4"/>
      <w:sz w:val="24"/>
    </w:rPr>
  </w:style>
  <w:style w:type="paragraph" w:customStyle="1" w:styleId="127">
    <w:name w:val="TOAHeading"/>
    <w:basedOn w:val="1"/>
    <w:next w:val="1"/>
    <w:qFormat/>
    <w:uiPriority w:val="0"/>
    <w:pPr>
      <w:spacing w:before="120" w:after="100" w:afterAutospacing="1"/>
      <w:textAlignment w:val="baseline"/>
    </w:pPr>
    <w:rPr>
      <w:rFonts w:ascii="Arial" w:hAnsi="Arial" w:cs="Arial"/>
      <w:sz w:val="24"/>
    </w:rPr>
  </w:style>
  <w:style w:type="paragraph" w:customStyle="1" w:styleId="128">
    <w:name w:val="正文文本首行缩进 21"/>
    <w:basedOn w:val="1"/>
    <w:qFormat/>
    <w:uiPriority w:val="0"/>
    <w:pPr>
      <w:spacing w:before="100" w:beforeAutospacing="1" w:after="100" w:afterAutospacing="1"/>
      <w:ind w:left="200" w:leftChars="200" w:firstLine="420" w:firstLineChars="200"/>
    </w:pPr>
    <w:rPr>
      <w:rFonts w:ascii="Calibri" w:hAnsi="Calibri"/>
      <w:szCs w:val="21"/>
    </w:rPr>
  </w:style>
  <w:style w:type="paragraph" w:customStyle="1" w:styleId="129">
    <w:name w:val="普通段落"/>
    <w:qFormat/>
    <w:uiPriority w:val="0"/>
    <w:pPr>
      <w:widowControl w:val="0"/>
      <w:spacing w:line="560" w:lineRule="exact"/>
      <w:ind w:firstLine="420" w:firstLineChars="200"/>
      <w:jc w:val="both"/>
    </w:pPr>
    <w:rPr>
      <w:rFonts w:ascii="宋体" w:hAnsi="宋体" w:eastAsia="仿宋_GB2312" w:cs="Times New Roman"/>
      <w:sz w:val="32"/>
      <w:lang w:val="en-US" w:eastAsia="zh-CN" w:bidi="ar-SA"/>
    </w:rPr>
  </w:style>
  <w:style w:type="paragraph" w:customStyle="1" w:styleId="130">
    <w:name w:val="UserStyle_0"/>
    <w:basedOn w:val="1"/>
    <w:next w:val="131"/>
    <w:qFormat/>
    <w:uiPriority w:val="0"/>
    <w:pPr>
      <w:widowControl/>
      <w:spacing w:before="100" w:beforeAutospacing="1" w:after="100" w:afterAutospacing="1"/>
      <w:ind w:left="200" w:leftChars="200" w:firstLine="200" w:firstLineChars="200"/>
      <w:jc w:val="left"/>
      <w:textAlignment w:val="baseline"/>
    </w:pPr>
    <w:rPr>
      <w:rFonts w:ascii="Calibri" w:hAnsi="Calibri" w:eastAsia="仿宋_GB2312"/>
      <w:kern w:val="0"/>
      <w:sz w:val="24"/>
    </w:rPr>
  </w:style>
  <w:style w:type="paragraph" w:customStyle="1" w:styleId="131">
    <w:name w:val="HtmlNormal"/>
    <w:basedOn w:val="1"/>
    <w:next w:val="1"/>
    <w:qFormat/>
    <w:uiPriority w:val="0"/>
    <w:pPr>
      <w:spacing w:before="100" w:beforeAutospacing="1" w:after="100" w:afterAutospacing="1"/>
      <w:jc w:val="left"/>
      <w:textAlignment w:val="baseline"/>
    </w:pPr>
    <w:rPr>
      <w:rFonts w:ascii="Calibri" w:hAnsi="Calibri"/>
      <w:kern w:val="0"/>
      <w:sz w:val="24"/>
    </w:rPr>
  </w:style>
  <w:style w:type="paragraph" w:customStyle="1" w:styleId="132">
    <w:name w:val="Heading #2|1"/>
    <w:basedOn w:val="1"/>
    <w:qFormat/>
    <w:uiPriority w:val="0"/>
    <w:pPr>
      <w:spacing w:after="280" w:line="661" w:lineRule="exact"/>
      <w:jc w:val="center"/>
      <w:outlineLvl w:val="1"/>
    </w:pPr>
    <w:rPr>
      <w:rFonts w:ascii="宋体" w:hAnsi="宋体" w:cs="宋体"/>
      <w:sz w:val="40"/>
      <w:szCs w:val="40"/>
      <w:lang w:val="zh-TW" w:eastAsia="zh-TW" w:bidi="zh-TW"/>
    </w:rPr>
  </w:style>
  <w:style w:type="paragraph" w:customStyle="1" w:styleId="133">
    <w:name w:val="Body text|1"/>
    <w:basedOn w:val="1"/>
    <w:qFormat/>
    <w:uiPriority w:val="0"/>
    <w:pPr>
      <w:spacing w:line="425" w:lineRule="auto"/>
      <w:ind w:firstLine="400"/>
    </w:pPr>
    <w:rPr>
      <w:rFonts w:ascii="宋体" w:hAnsi="宋体" w:cs="宋体"/>
      <w:sz w:val="28"/>
      <w:szCs w:val="28"/>
      <w:lang w:val="zh-TW" w:eastAsia="zh-TW" w:bidi="zh-TW"/>
    </w:rPr>
  </w:style>
  <w:style w:type="character" w:customStyle="1" w:styleId="134">
    <w:name w:val="默认段落字体1"/>
    <w:qFormat/>
    <w:uiPriority w:val="0"/>
  </w:style>
  <w:style w:type="character" w:customStyle="1" w:styleId="135">
    <w:name w:val="font71"/>
    <w:basedOn w:val="35"/>
    <w:qFormat/>
    <w:uiPriority w:val="0"/>
    <w:rPr>
      <w:rFonts w:hint="eastAsia" w:ascii="宋体" w:hAnsi="宋体" w:eastAsia="宋体" w:cs="宋体"/>
      <w:color w:val="000000"/>
      <w:sz w:val="20"/>
      <w:szCs w:val="20"/>
      <w:u w:val="none"/>
    </w:rPr>
  </w:style>
  <w:style w:type="character" w:customStyle="1" w:styleId="136">
    <w:name w:val="font21"/>
    <w:basedOn w:val="35"/>
    <w:qFormat/>
    <w:uiPriority w:val="0"/>
    <w:rPr>
      <w:rFonts w:hint="eastAsia" w:ascii="宋体" w:hAnsi="宋体" w:eastAsia="宋体" w:cs="宋体"/>
      <w:color w:val="000000"/>
      <w:sz w:val="20"/>
      <w:szCs w:val="20"/>
      <w:u w:val="none"/>
    </w:rPr>
  </w:style>
  <w:style w:type="character" w:customStyle="1" w:styleId="137">
    <w:name w:val="正文文本 Char"/>
    <w:basedOn w:val="35"/>
    <w:link w:val="13"/>
    <w:qFormat/>
    <w:uiPriority w:val="0"/>
    <w:rPr>
      <w:kern w:val="2"/>
      <w:sz w:val="21"/>
      <w:szCs w:val="24"/>
    </w:rPr>
  </w:style>
  <w:style w:type="paragraph" w:customStyle="1" w:styleId="138">
    <w:name w:val="Index"/>
    <w:basedOn w:val="1"/>
    <w:qFormat/>
    <w:uiPriority w:val="0"/>
    <w:pPr>
      <w:suppressLineNumbers/>
      <w:suppressAutoHyphens/>
    </w:pPr>
    <w:rPr>
      <w:rFonts w:ascii="Calibri" w:hAnsi="Calibri"/>
    </w:rPr>
  </w:style>
  <w:style w:type="paragraph" w:customStyle="1" w:styleId="139">
    <w:name w:val="Heading"/>
    <w:basedOn w:val="1"/>
    <w:next w:val="13"/>
    <w:qFormat/>
    <w:uiPriority w:val="0"/>
    <w:pPr>
      <w:keepNext/>
      <w:suppressAutoHyphens/>
      <w:spacing w:before="240" w:after="120"/>
    </w:pPr>
    <w:rPr>
      <w:rFonts w:ascii="Liberation Sans" w:hAnsi="Liberation Sans" w:eastAsia="Noto Sans CJK SC Regular" w:cs="Noto Sans CJK SC Regular"/>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1</Pages>
  <Words>4835</Words>
  <Characters>27561</Characters>
  <Lines>229</Lines>
  <Paragraphs>64</Paragraphs>
  <TotalTime>210</TotalTime>
  <ScaleCrop>false</ScaleCrop>
  <LinksUpToDate>false</LinksUpToDate>
  <CharactersWithSpaces>32332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2022-12-14T11:49:00Z</dcterms:created>
  <dc:creator>Administrator</dc:creator>
  <cp:lastModifiedBy>kylin</cp:lastModifiedBy>
  <cp:lastPrinted>2022-12-14T15:01:00Z</cp:lastPrinted>
  <dcterms:modified xsi:type="dcterms:W3CDTF">2023-03-13T10:48:46Z</dcterms:modified>
  <dc:title>忻州市人民政府办公厅</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