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2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忻政办发〔202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</w:rPr>
        <w:t>37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忻州市人民政府办公室</w:t>
      </w:r>
    </w:p>
    <w:p>
      <w:pPr>
        <w:spacing w:line="580" w:lineRule="exact"/>
        <w:jc w:val="center"/>
        <w:rPr>
          <w:rFonts w:hint="eastAsia" w:eastAsia="方正大标宋简体"/>
          <w:spacing w:val="-13"/>
          <w:sz w:val="44"/>
          <w:szCs w:val="44"/>
        </w:rPr>
      </w:pPr>
      <w:r>
        <w:rPr>
          <w:rFonts w:hint="eastAsia" w:eastAsia="方正大标宋简体"/>
          <w:spacing w:val="-12"/>
          <w:sz w:val="44"/>
          <w:szCs w:val="44"/>
        </w:rPr>
        <w:t>关于印发忻州市“十四五”“一带一路”开放型</w:t>
      </w:r>
      <w:r>
        <w:rPr>
          <w:rFonts w:hint="eastAsia" w:eastAsia="方正大标宋简体"/>
          <w:spacing w:val="-13"/>
          <w:sz w:val="44"/>
          <w:szCs w:val="44"/>
        </w:rPr>
        <w:t>经济发展及对外开放新高地建设实施方案的通知</w:t>
      </w:r>
    </w:p>
    <w:p>
      <w:pPr>
        <w:spacing w:line="400" w:lineRule="exact"/>
        <w:jc w:val="center"/>
        <w:rPr>
          <w:rFonts w:hint="eastAsia" w:eastAsia="方正大标宋简体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各县（市、区）人民政府，忻州经济开发区管委会，五台山风景名胜区管委会，市人民政府各委、办、局：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《忻州市“十四五”“一带一路”开放型经济发展及对外开放新高地建设实施方案》已经市人民政府同意，现印发给你们，请认真组织实施。</w:t>
      </w:r>
    </w:p>
    <w:p>
      <w:pPr>
        <w:widowControl/>
        <w:shd w:val="clear" w:color="auto" w:fill="FFFFFF"/>
        <w:spacing w:line="560" w:lineRule="exact"/>
        <w:ind w:firstLine="48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560" w:lineRule="exact"/>
        <w:ind w:firstLine="482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hAnsi="仿宋_GB2312" w:eastAsia="仿宋_GB2312"/>
          <w:color w:val="000000"/>
          <w:kern w:val="0"/>
          <w:sz w:val="32"/>
          <w:szCs w:val="32"/>
        </w:rPr>
        <w:t>忻州市人民政府办公室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</w:t>
      </w:r>
    </w:p>
    <w:p>
      <w:pPr>
        <w:widowControl/>
        <w:shd w:val="clear" w:color="auto" w:fill="FFFFFF"/>
        <w:wordWrap w:val="0"/>
        <w:spacing w:line="560" w:lineRule="exact"/>
        <w:ind w:firstLine="482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2022</w:t>
      </w:r>
      <w:r>
        <w:rPr>
          <w:rFonts w:hAnsi="仿宋_GB2312"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hAnsi="仿宋_GB2312"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12</w:t>
      </w:r>
      <w:r>
        <w:rPr>
          <w:rFonts w:hAnsi="仿宋_GB2312" w:eastAsia="仿宋_GB2312"/>
          <w:color w:val="000000"/>
          <w:kern w:val="0"/>
          <w:sz w:val="32"/>
          <w:szCs w:val="32"/>
        </w:rPr>
        <w:t>日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</w:t>
      </w:r>
    </w:p>
    <w:p>
      <w:pPr>
        <w:widowControl/>
        <w:shd w:val="clear" w:color="auto" w:fill="FFFFFF"/>
        <w:spacing w:line="560" w:lineRule="exact"/>
        <w:ind w:firstLine="646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（此件公开发布）</w:t>
      </w:r>
    </w:p>
    <w:p>
      <w:pPr>
        <w:spacing w:line="560" w:lineRule="exact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widowControl/>
        <w:tabs>
          <w:tab w:val="right" w:leader="dot" w:pos="8306"/>
        </w:tabs>
        <w:spacing w:line="560" w:lineRule="exact"/>
        <w:jc w:val="center"/>
        <w:rPr>
          <w:rFonts w:hint="eastAsia" w:ascii="方正大标宋简体" w:hAnsi="方正小标宋简体" w:eastAsia="方正大标宋简体" w:cs="方正小标宋简体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大标宋简体" w:hAnsi="方正小标宋简体" w:eastAsia="方正大标宋简体" w:cs="方正小标宋简体"/>
          <w:bCs/>
          <w:kern w:val="0"/>
          <w:sz w:val="44"/>
          <w:szCs w:val="44"/>
          <w:shd w:val="clear" w:color="auto" w:fill="FFFFFF"/>
        </w:rPr>
        <w:t>忻州市“十四五”“一带一路”开放型</w:t>
      </w:r>
    </w:p>
    <w:p>
      <w:pPr>
        <w:widowControl/>
        <w:tabs>
          <w:tab w:val="right" w:leader="dot" w:pos="8306"/>
        </w:tabs>
        <w:spacing w:line="560" w:lineRule="exact"/>
        <w:jc w:val="center"/>
        <w:rPr>
          <w:rFonts w:hint="eastAsia" w:ascii="方正大标宋简体" w:hAnsi="方正小标宋简体" w:eastAsia="方正大标宋简体" w:cs="方正小标宋简体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大标宋简体" w:hAnsi="方正小标宋简体" w:eastAsia="方正大标宋简体" w:cs="方正小标宋简体"/>
          <w:bCs/>
          <w:kern w:val="0"/>
          <w:sz w:val="44"/>
          <w:szCs w:val="44"/>
          <w:shd w:val="clear" w:color="auto" w:fill="FFFFFF"/>
        </w:rPr>
        <w:t>经济发展及对外开放新高地建设实施方案</w:t>
      </w:r>
    </w:p>
    <w:p>
      <w:pPr>
        <w:spacing w:line="560" w:lineRule="exact"/>
        <w:rPr>
          <w:rFonts w:eastAsia="仿宋_GB2312"/>
          <w:sz w:val="32"/>
          <w:szCs w:val="32"/>
          <w:highlight w:val="yellow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为加快建设开放型经济，积极融入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建设，打造对外开放新高地，大力发展开放型经济，加快构建全方位、宽领域、多层次、高水平的开放新格局，根据《山西省</w:t>
      </w:r>
      <w:r>
        <w:rPr>
          <w:rFonts w:eastAsia="仿宋_GB2312"/>
          <w:bCs/>
          <w:kern w:val="0"/>
          <w:sz w:val="32"/>
          <w:szCs w:val="32"/>
          <w:shd w:val="clear" w:color="auto" w:fill="FFFFFF"/>
        </w:rPr>
        <w:t>“</w:t>
      </w:r>
      <w:r>
        <w:rPr>
          <w:rFonts w:hAnsi="仿宋_GB2312" w:eastAsia="仿宋_GB2312"/>
          <w:bCs/>
          <w:kern w:val="0"/>
          <w:sz w:val="32"/>
          <w:szCs w:val="32"/>
          <w:shd w:val="clear" w:color="auto" w:fill="FFFFFF"/>
        </w:rPr>
        <w:t>十四五</w:t>
      </w:r>
      <w:r>
        <w:rPr>
          <w:rFonts w:eastAsia="仿宋_GB2312"/>
          <w:bCs/>
          <w:kern w:val="0"/>
          <w:sz w:val="32"/>
          <w:szCs w:val="32"/>
          <w:shd w:val="clear" w:color="auto" w:fill="FFFFFF"/>
        </w:rPr>
        <w:t>”“</w:t>
      </w:r>
      <w:r>
        <w:rPr>
          <w:rFonts w:hAnsi="仿宋_GB2312" w:eastAsia="仿宋_GB2312"/>
          <w:bCs/>
          <w:kern w:val="0"/>
          <w:sz w:val="32"/>
          <w:szCs w:val="32"/>
          <w:shd w:val="clear" w:color="auto" w:fill="FFFFFF"/>
        </w:rPr>
        <w:t>一带一路</w:t>
      </w:r>
      <w:r>
        <w:rPr>
          <w:rFonts w:eastAsia="仿宋_GB2312"/>
          <w:bCs/>
          <w:kern w:val="0"/>
          <w:sz w:val="32"/>
          <w:szCs w:val="32"/>
          <w:shd w:val="clear" w:color="auto" w:fill="FFFFFF"/>
        </w:rPr>
        <w:t>”</w:t>
      </w:r>
      <w:r>
        <w:rPr>
          <w:rFonts w:hAnsi="仿宋_GB2312" w:eastAsia="仿宋_GB2312"/>
          <w:bCs/>
          <w:kern w:val="0"/>
          <w:sz w:val="32"/>
          <w:szCs w:val="32"/>
          <w:shd w:val="clear" w:color="auto" w:fill="FFFFFF"/>
        </w:rPr>
        <w:t>开放型经济发展及对外开放新高地建设规划</w:t>
      </w:r>
      <w:r>
        <w:rPr>
          <w:rFonts w:hAnsi="仿宋_GB2312" w:eastAsia="仿宋_GB2312"/>
          <w:sz w:val="32"/>
          <w:szCs w:val="32"/>
        </w:rPr>
        <w:t>》，结合我市实际，特制定本实施方案。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Toc27882"/>
      <w:bookmarkStart w:id="1" w:name="_Toc30070"/>
      <w:bookmarkStart w:id="2" w:name="_Toc31437"/>
      <w:bookmarkStart w:id="3" w:name="_Toc55851407"/>
      <w:bookmarkStart w:id="4" w:name="_Toc62377027"/>
      <w:bookmarkStart w:id="5" w:name="_Toc17941"/>
      <w:bookmarkStart w:id="6" w:name="_Toc30578"/>
      <w:bookmarkStart w:id="7" w:name="_Toc11300"/>
      <w:bookmarkStart w:id="8" w:name="_Toc32616"/>
      <w:bookmarkStart w:id="9" w:name="_Toc12420"/>
      <w:bookmarkStart w:id="10" w:name="_Toc31008"/>
      <w:bookmarkStart w:id="11" w:name="_Toc2768"/>
      <w:r>
        <w:rPr>
          <w:rFonts w:ascii="黑体" w:hAnsi="黑体" w:eastAsia="黑体"/>
          <w:bCs/>
          <w:sz w:val="32"/>
          <w:szCs w:val="32"/>
        </w:rPr>
        <w:t>一、总体要求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以习近平新时代中国特色社会主义思想为指导，全面贯彻党的十九大和十九届历次全会精神，深入贯彻习近平总书记视察山西重要讲话重要指示精神，按照全方位推动高质量发展的目标要求，积极搭建开放平台，畅通开放通道，持续优化制度环境，深度融入国家重大发展战略，努力打造对外开放新高地。到</w:t>
      </w:r>
      <w:r>
        <w:rPr>
          <w:rFonts w:eastAsia="仿宋_GB2312"/>
          <w:sz w:val="32"/>
          <w:szCs w:val="32"/>
        </w:rPr>
        <w:t>2025</w:t>
      </w:r>
      <w:r>
        <w:rPr>
          <w:rFonts w:hAnsi="仿宋_GB2312" w:eastAsia="仿宋_GB2312"/>
          <w:sz w:val="32"/>
          <w:szCs w:val="32"/>
        </w:rPr>
        <w:t>年，全市全方位、多层次、宽领域的对外开放新格局初步形成，高水平开放型经济新体制基本完善，对外经济合作新局面不断拓展，制度型开放机制更加健全，对外开放规模逐步扩大，质量不断提高，开放型经济对全市转型发展的贡献作用更加突出。以太忻一体化经济区建设为牵引，承接引进合作雄安新区高新技术企业，强化资本、技术、人才、品牌、管理等核心要素转移，积极利用雄新高铁区位优势，加快太忻经济一体化发展，对外开放能力全面提升。进一步深度融入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大商圈，京津冀经济圈大后方支撑地位更加稳固，外向型经济规模进一步扩大，经济结构更加合理，发展驱动更加先进。参与国际经济合作和竞争新优势明显增强，开放的程度、水平和质量不断提高，制度型开放机制稳定健全，开放型经济对全市的贡献更加突出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二、发展目标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（一）开放型经济规模不断扩大。</w:t>
      </w:r>
      <w:r>
        <w:rPr>
          <w:rFonts w:hAnsi="仿宋_GB2312" w:eastAsia="仿宋_GB2312"/>
          <w:sz w:val="32"/>
          <w:szCs w:val="32"/>
        </w:rPr>
        <w:t>对外贸易规模持续扩大，外贸依存度水平显著提升，利用外资水平稳步提高</w:t>
      </w:r>
      <w:r>
        <w:rPr>
          <w:rFonts w:eastAsia="仿宋_GB2312"/>
          <w:sz w:val="32"/>
          <w:szCs w:val="32"/>
        </w:rPr>
        <w:t>,</w:t>
      </w:r>
      <w:r>
        <w:rPr>
          <w:rFonts w:hAnsi="仿宋_GB2312" w:eastAsia="仿宋_GB2312"/>
          <w:sz w:val="32"/>
          <w:szCs w:val="32"/>
        </w:rPr>
        <w:t>对外投资合作水平保持增长。外贸进出口总额翻一番，与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沿线国家货物贸易进出口总额翻一番。十四五期间实际利用外资增速达到</w:t>
      </w:r>
      <w:r>
        <w:rPr>
          <w:rFonts w:eastAsia="仿宋_GB2312"/>
          <w:sz w:val="32"/>
          <w:szCs w:val="32"/>
        </w:rPr>
        <w:t>8%</w:t>
      </w:r>
      <w:r>
        <w:rPr>
          <w:rFonts w:hint="eastAsia" w:hAnsi="仿宋_GB2312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2025</w:t>
      </w:r>
      <w:r>
        <w:rPr>
          <w:rFonts w:hAnsi="仿宋_GB2312" w:eastAsia="仿宋_GB2312"/>
          <w:sz w:val="32"/>
          <w:szCs w:val="32"/>
        </w:rPr>
        <w:t>年实际利用外资绝对额基本实现</w:t>
      </w:r>
      <w:r>
        <w:rPr>
          <w:rFonts w:eastAsia="仿宋_GB2312"/>
          <w:sz w:val="32"/>
          <w:szCs w:val="32"/>
        </w:rPr>
        <w:t>2360</w:t>
      </w:r>
      <w:r>
        <w:rPr>
          <w:rFonts w:hAnsi="仿宋_GB2312" w:eastAsia="仿宋_GB2312"/>
          <w:sz w:val="32"/>
          <w:szCs w:val="32"/>
        </w:rPr>
        <w:t>万美元。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（二）开放型经济质量明显提升。</w:t>
      </w:r>
      <w:r>
        <w:rPr>
          <w:rFonts w:hAnsi="仿宋_GB2312" w:eastAsia="仿宋_GB2312"/>
          <w:sz w:val="32"/>
          <w:szCs w:val="32"/>
        </w:rPr>
        <w:t>服务贸易保持较快增长，重点领域外资占比提升，对外承包工程和劳务合作层次明显提高，与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沿线国家产能合作水平稳步提升，贸易额快速增长。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（三）融入“双循环”新发展格局成效明显。</w:t>
      </w:r>
      <w:r>
        <w:rPr>
          <w:rFonts w:hAnsi="仿宋_GB2312" w:eastAsia="仿宋_GB2312"/>
          <w:sz w:val="32"/>
          <w:szCs w:val="32"/>
        </w:rPr>
        <w:t>与京津冀、粤港澳、长三角、雄安等重点地区的交流合作进一步深化，引进上下游产业合作伙伴，实现产业链、产业园整体承接。</w:t>
      </w:r>
    </w:p>
    <w:bookmarkEnd w:id="8"/>
    <w:bookmarkEnd w:id="9"/>
    <w:bookmarkEnd w:id="10"/>
    <w:bookmarkEnd w:id="11"/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三、主要任务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bookmarkStart w:id="12" w:name="_Toc62377034"/>
      <w:bookmarkStart w:id="13" w:name="_Toc17233"/>
      <w:bookmarkStart w:id="14" w:name="_Toc22214"/>
      <w:bookmarkStart w:id="15" w:name="_Toc549"/>
      <w:bookmarkStart w:id="16" w:name="_Toc10795"/>
      <w:bookmarkStart w:id="17" w:name="_Toc6111"/>
      <w:bookmarkStart w:id="18" w:name="_Toc4103"/>
      <w:r>
        <w:rPr>
          <w:rFonts w:hint="eastAsia" w:ascii="楷体_GB2312" w:eastAsia="楷体_GB2312"/>
          <w:bCs/>
          <w:sz w:val="32"/>
          <w:szCs w:val="32"/>
        </w:rPr>
        <w:t>（一）</w:t>
      </w:r>
      <w:bookmarkEnd w:id="12"/>
      <w:bookmarkEnd w:id="13"/>
      <w:bookmarkEnd w:id="14"/>
      <w:bookmarkEnd w:id="15"/>
      <w:bookmarkEnd w:id="16"/>
      <w:r>
        <w:rPr>
          <w:rFonts w:hint="eastAsia" w:ascii="楷体_GB2312" w:eastAsia="楷体_GB2312"/>
          <w:bCs/>
          <w:sz w:val="32"/>
          <w:szCs w:val="32"/>
        </w:rPr>
        <w:t>主动参与“一带一路”建设</w:t>
      </w:r>
      <w:bookmarkEnd w:id="17"/>
      <w:bookmarkEnd w:id="18"/>
      <w:r>
        <w:rPr>
          <w:rFonts w:hint="eastAsia" w:ascii="楷体_GB2312" w:eastAsia="楷体_GB2312"/>
          <w:bCs/>
          <w:sz w:val="32"/>
          <w:szCs w:val="32"/>
        </w:rPr>
        <w:t>。</w:t>
      </w:r>
      <w:r>
        <w:rPr>
          <w:rFonts w:hAnsi="仿宋_GB2312" w:eastAsia="仿宋_GB2312"/>
          <w:sz w:val="32"/>
          <w:szCs w:val="32"/>
        </w:rPr>
        <w:t>加强与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沿线国家的贸易往来，实施优进优出，支持企业参加中国国际进口博览会、广交会、高交会、亚欧博览会、东盟博览会和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高峰论坛等各类境内及涉外展会，多渠道开拓国际市场，培育一批自主出口品牌。以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沿线国家为主要方向，鼓励支持企业在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沿线国家开展国际产能合作。鼓励我市具有技术产能优势的企业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走出去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，鼓励企业承揽附加值高、影响力大的交通、能源、通信等基础设施项目，鼓励企业发展对外承包工程，开拓国际市场，推动国际产能合作。</w:t>
      </w:r>
      <w:bookmarkStart w:id="19" w:name="_Toc17660"/>
      <w:bookmarkStart w:id="20" w:name="_Toc6727"/>
      <w:bookmarkStart w:id="21" w:name="_Toc3446"/>
      <w:bookmarkStart w:id="22" w:name="_Toc22628"/>
      <w:bookmarkStart w:id="23" w:name="_Toc29177"/>
      <w:bookmarkStart w:id="24" w:name="_Toc30462"/>
      <w:bookmarkStart w:id="25" w:name="_Toc62377035"/>
      <w:r>
        <w:rPr>
          <w:rFonts w:hAnsi="仿宋_GB2312" w:eastAsia="仿宋_GB2312"/>
          <w:sz w:val="32"/>
          <w:szCs w:val="32"/>
        </w:rPr>
        <w:t>（责任单位：各县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人民政府、忻州经济开发区）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（二）深化对接</w:t>
      </w:r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hint="eastAsia" w:ascii="楷体_GB2312" w:eastAsia="楷体_GB2312"/>
          <w:bCs/>
          <w:sz w:val="32"/>
          <w:szCs w:val="32"/>
        </w:rPr>
        <w:t>京津冀，强化产业发展。</w:t>
      </w:r>
      <w:r>
        <w:rPr>
          <w:rFonts w:hAnsi="仿宋_GB2312" w:eastAsia="仿宋_GB2312"/>
          <w:sz w:val="32"/>
          <w:szCs w:val="32"/>
        </w:rPr>
        <w:t>立足我市区位优势，深化区域分工合作，推动形成产业互补、要素互融、成果共享的协调联动体系。积极承接京津冀产业转移，推进与京津冀在半导体、大数据、光电、新材料等领域深度合作，加强现代物流、科技与信息、商务和金融保险等领域合作，推进京津冀先进生产性服务业与我市制造业融合发展。深度融入京津冀协同发展，以强化能源产业合作为突破口，进一步加大新一代信息、文化旅游、特色农业、生活服务业等方面的对外宣传力度。加强与长三角、粤港澳大湾区联动发展，采取结对子、对标准、建立友好城市等方式，推动形成政府、企业、社团等多层次联动机制，积极引进技术、装备、管理和人才，形成借力开放新态势。（责任单位：市工信局、市农业农村局、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人民政府、忻州经济开发区）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（三）有效利用外商投资提升我市优势产业。</w:t>
      </w:r>
      <w:r>
        <w:rPr>
          <w:rFonts w:hAnsi="仿宋_GB2312" w:eastAsia="仿宋_GB2312"/>
          <w:sz w:val="32"/>
          <w:szCs w:val="32"/>
        </w:rPr>
        <w:t>认真执行《外商投资准入特别管理措施（负面清单）》，积极参与我省争取国家服务业扩大开放综合试点工作。推进金融、电信、商贸、文化、基础设施等服务领域扩大开放。根据国家、省相关政策出台符合我市实际情况的推动有效利用外资政策，优化外商投资产业导向，完善配套政策和措施，鼓励外商投资半导体等战略性新兴产业。鼓励外商投资绿色能源产业、现代设施农业、农产品精深加工业以及现代生产性服务业等重要板块。（责任单位：市商务局、市农业农村局、市工信局、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人民政府、忻州经济开发区）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（四）深入实施产业链招商，组织参加外商投资促进活动。</w:t>
      </w:r>
      <w:r>
        <w:rPr>
          <w:rFonts w:hAnsi="仿宋_GB2312" w:eastAsia="仿宋_GB2312"/>
          <w:sz w:val="32"/>
          <w:szCs w:val="32"/>
        </w:rPr>
        <w:t>结合我市产业发展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建链、延链、补链、强链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需要，瞄准行业领军企业，大力推动开展精准招商。开展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一对一</w:t>
      </w:r>
      <w:r>
        <w:rPr>
          <w:rFonts w:eastAsia="仿宋_GB2312"/>
          <w:sz w:val="32"/>
          <w:szCs w:val="32"/>
        </w:rPr>
        <w:t>”“</w:t>
      </w:r>
      <w:r>
        <w:rPr>
          <w:rFonts w:hAnsi="仿宋_GB2312" w:eastAsia="仿宋_GB2312"/>
          <w:sz w:val="32"/>
          <w:szCs w:val="32"/>
        </w:rPr>
        <w:t>点对点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上门招商，引进产业链关键企业和上下游配套产业，重点引进新兴外向型龙头企业。完善外商投资服务机制，推动外资项目落地。认真组织参加太原能源低碳发展论坛、中国（太原）国际能源产业博览会、晋阳湖集成电路和软件业峰会等活动，广泛宣传我市投资环境和引资引智政策。利用中国中部投资贸易博览会、中国国际投资贸易洽谈会等国家级国际性展会，积极开展投资推介、项目对接等活动。举办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迎老乡、回故乡、建家乡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主题系列活动，大力宣传我市投资优惠政策、投资环境和</w:t>
      </w:r>
      <w:r>
        <w:rPr>
          <w:rFonts w:eastAsia="仿宋_GB2312"/>
          <w:sz w:val="32"/>
          <w:szCs w:val="32"/>
        </w:rPr>
        <w:t>“8+6”</w:t>
      </w:r>
      <w:r>
        <w:rPr>
          <w:rFonts w:hAnsi="仿宋_GB2312" w:eastAsia="仿宋_GB2312"/>
          <w:sz w:val="32"/>
          <w:szCs w:val="32"/>
        </w:rPr>
        <w:t>产业集群项目。（责任单位：市商务局、各县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人民政府、忻州经济开发区）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（五）积极推进外贸高质量发展。</w:t>
      </w:r>
      <w:r>
        <w:rPr>
          <w:rFonts w:hAnsi="仿宋_GB2312" w:eastAsia="仿宋_GB2312"/>
          <w:sz w:val="32"/>
          <w:szCs w:val="32"/>
        </w:rPr>
        <w:t>支持法兰、特色农产品、化工产品、矿产品等优势产品扩大出口。以巩固龙头企业发展、延伸产业链、促进转型升级发展为重点，推动产业由低端向高端转变，提升出口产品技术含量和附加值。支持山西（忻州）杂粮出口平台做大做强，鼓励有条件的企业发展外贸综合服务，带动、辐射周边外贸企业发展，更好地服务小微企业。结合市场需求，整合展会资源，提升展览水平，用好广交会、进博会、东盟博览会、消博会等境内国际展会平台，提升我市特色产品国际知名度，形成更多务实合作成果。（责任单位：市商务局、市农业农村局、市工信局、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人民政府，忻州经济开发区、山西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忻州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杂粮出口平台）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（六）推动开发区开放创新发展，持续提升开发区政务服务效率。</w:t>
      </w:r>
      <w:r>
        <w:rPr>
          <w:rFonts w:hAnsi="仿宋_GB2312" w:eastAsia="仿宋_GB2312"/>
          <w:sz w:val="32"/>
          <w:szCs w:val="32"/>
        </w:rPr>
        <w:t>对照省市赋权事项基本目录</w:t>
      </w:r>
      <w:r>
        <w:rPr>
          <w:rFonts w:eastAsia="仿宋_GB2312"/>
          <w:sz w:val="32"/>
          <w:szCs w:val="32"/>
        </w:rPr>
        <w:t>,</w:t>
      </w:r>
      <w:r>
        <w:rPr>
          <w:rFonts w:hAnsi="仿宋_GB2312" w:eastAsia="仿宋_GB2312"/>
          <w:sz w:val="32"/>
          <w:szCs w:val="32"/>
        </w:rPr>
        <w:t>推动向开发区依法授权到位</w:t>
      </w:r>
      <w:r>
        <w:rPr>
          <w:rFonts w:eastAsia="仿宋_GB2312"/>
          <w:sz w:val="32"/>
          <w:szCs w:val="32"/>
        </w:rPr>
        <w:t>,</w:t>
      </w:r>
      <w:r>
        <w:rPr>
          <w:rFonts w:hAnsi="仿宋_GB2312" w:eastAsia="仿宋_GB2312"/>
          <w:sz w:val="32"/>
          <w:szCs w:val="32"/>
        </w:rPr>
        <w:t>推动开发区根据发展需要承接下放权限，做到赋权事项领得到、接得住、管得好、有监督，实现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区内事、区内办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。全面推行项目建设领办代办制，持续深化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企业投资项目承诺制</w:t>
      </w:r>
      <w:r>
        <w:rPr>
          <w:rFonts w:eastAsia="仿宋_GB2312"/>
          <w:sz w:val="32"/>
          <w:szCs w:val="32"/>
        </w:rPr>
        <w:t>”“</w:t>
      </w:r>
      <w:r>
        <w:rPr>
          <w:rFonts w:hAnsi="仿宋_GB2312" w:eastAsia="仿宋_GB2312"/>
          <w:sz w:val="32"/>
          <w:szCs w:val="32"/>
        </w:rPr>
        <w:t>一枚印章管审批</w:t>
      </w:r>
      <w:r>
        <w:rPr>
          <w:rFonts w:eastAsia="仿宋_GB2312"/>
          <w:sz w:val="32"/>
          <w:szCs w:val="32"/>
        </w:rPr>
        <w:t>”“</w:t>
      </w:r>
      <w:r>
        <w:rPr>
          <w:rFonts w:hAnsi="仿宋_GB2312" w:eastAsia="仿宋_GB2312"/>
          <w:sz w:val="32"/>
          <w:szCs w:val="32"/>
        </w:rPr>
        <w:t>一网通办</w:t>
      </w:r>
      <w:r>
        <w:rPr>
          <w:rFonts w:eastAsia="仿宋_GB2312"/>
          <w:sz w:val="32"/>
          <w:szCs w:val="32"/>
        </w:rPr>
        <w:t>”“</w:t>
      </w:r>
      <w:r>
        <w:rPr>
          <w:rFonts w:hAnsi="仿宋_GB2312" w:eastAsia="仿宋_GB2312"/>
          <w:sz w:val="32"/>
          <w:szCs w:val="32"/>
        </w:rPr>
        <w:t>证照分离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等改革，进一步精简优化审批程序，提高办事效率效能。持续深化开发区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三化三制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改革。严格落实领导班子任期制，选配熟悉经济工作、视野开阔、年富力强、有干事创业激情的干部担任开发区领导，明确任期目标</w:t>
      </w:r>
      <w:r>
        <w:rPr>
          <w:rFonts w:eastAsia="仿宋_GB2312"/>
          <w:sz w:val="32"/>
          <w:szCs w:val="32"/>
        </w:rPr>
        <w:t>,</w:t>
      </w:r>
      <w:r>
        <w:rPr>
          <w:rFonts w:hAnsi="仿宋_GB2312" w:eastAsia="仿宋_GB2312"/>
          <w:sz w:val="32"/>
          <w:szCs w:val="32"/>
        </w:rPr>
        <w:t>对中层和一般干部原则上全部实行公开选聘。进一步规范目标绩效管理</w:t>
      </w:r>
      <w:r>
        <w:rPr>
          <w:rFonts w:eastAsia="仿宋_GB2312"/>
          <w:sz w:val="32"/>
          <w:szCs w:val="32"/>
        </w:rPr>
        <w:t>,</w:t>
      </w:r>
      <w:r>
        <w:rPr>
          <w:rFonts w:hAnsi="仿宋_GB2312" w:eastAsia="仿宋_GB2312"/>
          <w:sz w:val="32"/>
          <w:szCs w:val="32"/>
        </w:rPr>
        <w:t>根据开发区考核结果</w:t>
      </w:r>
      <w:r>
        <w:rPr>
          <w:rFonts w:eastAsia="仿宋_GB2312"/>
          <w:sz w:val="32"/>
          <w:szCs w:val="32"/>
        </w:rPr>
        <w:t>,</w:t>
      </w:r>
      <w:r>
        <w:rPr>
          <w:rFonts w:hAnsi="仿宋_GB2312" w:eastAsia="仿宋_GB2312"/>
          <w:sz w:val="32"/>
          <w:szCs w:val="32"/>
        </w:rPr>
        <w:t>落实开发区管委会领导班子收入绩效管理办法，积极改进绩效管理，完善全员聘任制，激发干部职工干事创业活力。加快开发区市场化专业化改革，推动开发区市场化选聘高级管理人才和高层次专门人才。探索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工业邻里中心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模式，由开发区统一建设并向入驻企业提供配套服务，切实降低用地、用电、用水等要素成本。（责任单位：各县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人民政府，忻州经济开发区）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（七）支持开发区建设国际合作园区。</w:t>
      </w:r>
      <w:r>
        <w:rPr>
          <w:rFonts w:hAnsi="仿宋_GB2312" w:eastAsia="仿宋_GB2312"/>
          <w:sz w:val="32"/>
          <w:szCs w:val="32"/>
        </w:rPr>
        <w:t>发挥重点开发区的外商投资环境优势</w:t>
      </w:r>
      <w:r>
        <w:rPr>
          <w:rFonts w:eastAsia="仿宋_GB2312"/>
          <w:sz w:val="32"/>
          <w:szCs w:val="32"/>
        </w:rPr>
        <w:t>,</w:t>
      </w:r>
      <w:r>
        <w:rPr>
          <w:rFonts w:hAnsi="仿宋_GB2312" w:eastAsia="仿宋_GB2312"/>
          <w:sz w:val="32"/>
          <w:szCs w:val="32"/>
        </w:rPr>
        <w:t>推动引进国际产业链关键节点企业</w:t>
      </w:r>
      <w:r>
        <w:rPr>
          <w:rFonts w:eastAsia="仿宋_GB2312"/>
          <w:sz w:val="32"/>
          <w:szCs w:val="32"/>
        </w:rPr>
        <w:t>,</w:t>
      </w:r>
      <w:r>
        <w:rPr>
          <w:rFonts w:hAnsi="仿宋_GB2312" w:eastAsia="仿宋_GB2312"/>
          <w:sz w:val="32"/>
          <w:szCs w:val="32"/>
        </w:rPr>
        <w:t>鼓励外商投资企业参与区中园、一区多园等建设运营，支持开发区引进跨国公司地区总部、研发、财务、采购、销售、物流、结算等功能性机构，引导外商投资我市鼓励类项目，建设国际合作园区。与国内外发达地区、优势企业、高等院校合作共建产业合作园区</w:t>
      </w:r>
      <w:r>
        <w:rPr>
          <w:rFonts w:hint="eastAsia" w:eastAsia="仿宋_GB2312"/>
          <w:sz w:val="32"/>
          <w:szCs w:val="32"/>
        </w:rPr>
        <w:t>，</w:t>
      </w:r>
      <w:r>
        <w:rPr>
          <w:rFonts w:hAnsi="仿宋_GB2312" w:eastAsia="仿宋_GB2312"/>
          <w:sz w:val="32"/>
          <w:szCs w:val="32"/>
        </w:rPr>
        <w:t>支持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中国杂粮之都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高新技术产业中试基地建设，探索异地孵化、飞地经济、伙伴园区等合作机制。</w:t>
      </w:r>
      <w:bookmarkStart w:id="26" w:name="_Toc11962"/>
      <w:bookmarkStart w:id="27" w:name="_Toc59014721"/>
      <w:bookmarkStart w:id="28" w:name="_Toc30533"/>
      <w:r>
        <w:rPr>
          <w:rFonts w:hAnsi="仿宋_GB2312" w:eastAsia="仿宋_GB2312"/>
          <w:sz w:val="32"/>
          <w:szCs w:val="32"/>
        </w:rPr>
        <w:t>（责任单位：各县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人民政府，忻州经济开发区）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（八）</w:t>
      </w:r>
      <w:bookmarkEnd w:id="26"/>
      <w:bookmarkEnd w:id="27"/>
      <w:bookmarkEnd w:id="28"/>
      <w:r>
        <w:rPr>
          <w:rFonts w:hint="eastAsia" w:ascii="楷体_GB2312" w:eastAsia="楷体_GB2312"/>
          <w:bCs/>
          <w:sz w:val="32"/>
          <w:szCs w:val="32"/>
        </w:rPr>
        <w:t>发挥外贸转型升级基地的辐射作用。</w:t>
      </w:r>
      <w:r>
        <w:rPr>
          <w:rFonts w:hAnsi="仿宋_GB2312" w:eastAsia="仿宋_GB2312"/>
          <w:sz w:val="32"/>
          <w:szCs w:val="32"/>
        </w:rPr>
        <w:t>持续加大对基地的培育力度，更好发挥国家级、省级外贸转型升级基地的示范引领作用，搭建合作平台，促进基地共享共用研发、设计、检测、信息等公共服务平台，推动产业转型升级，推进贸易高质量发展。鼓励示范基地开展商标注册，引导出口企业打造自有品牌，将基地打造成为出口带动效应强、产业优势明显、公共服务体系完善、龙头带动作用强劲的特色区域。（责任单位：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人民政府，忻州经济开发区）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（九）用好服务贸易展示平台。</w:t>
      </w:r>
      <w:r>
        <w:rPr>
          <w:rFonts w:hAnsi="仿宋_GB2312" w:eastAsia="仿宋_GB2312"/>
          <w:sz w:val="32"/>
          <w:szCs w:val="32"/>
        </w:rPr>
        <w:t>有针对性地组织服务贸易企业参加中国国际服务贸易交易会、中国高新技术交易会、中国（上海）国际技术进出口交易会、中国国际数字和软件服务交易会等境内外国际性大型服务贸易展会，积极发展服务贸易，促进我市服务贸易企业开拓国内外市场。（责任单位：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人民政府，忻州经济开发区）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（十）做大做强杂粮交易市场开放平台功能。</w:t>
      </w:r>
      <w:r>
        <w:rPr>
          <w:rFonts w:hAnsi="仿宋_GB2312" w:eastAsia="仿宋_GB2312"/>
          <w:sz w:val="32"/>
          <w:szCs w:val="32"/>
        </w:rPr>
        <w:t>依托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中国杂粮之都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产业融合园区，发挥山西（忻州）杂粮出口平台功能，健全杂粮标准化出口基地和生产、杂粮出口检验检疫、杂粮研发与标准化加工、集成化综合服务、产品出口贸易营销体系、出口企业与人才培育等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六大体系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。积极培育杂粮企业扩大出口，争取国际市场份额，推动我市优质杂粮进入国际市场。（责任单位：市农业农村局、各县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人民政府，忻州经济开发区，山西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忻州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杂粮出口平台）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（十一）加快市场主体培育，优化商业网点布局。</w:t>
      </w:r>
      <w:r>
        <w:rPr>
          <w:rFonts w:hAnsi="仿宋_GB2312" w:eastAsia="仿宋_GB2312"/>
          <w:sz w:val="32"/>
          <w:szCs w:val="32"/>
        </w:rPr>
        <w:t>积极培育市场主体，加大对星级酒店、商业综合体、大型专业市场、特色餐饮、商贸物流及电子商务等重点产业、新型产业的招商引资力度。以商业综合体改造建设为重点，加快传统商贸业升级改造。以推广连锁经营为重点，加快镇街商业中心建设，形成城乡商业网点一体化。（责任单位：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人民政府，忻州经济开发区）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（十二）推动专业市场建设，打造高品质商圈。</w:t>
      </w:r>
      <w:r>
        <w:rPr>
          <w:rFonts w:hAnsi="仿宋_GB2312" w:eastAsia="仿宋_GB2312"/>
          <w:sz w:val="32"/>
          <w:szCs w:val="32"/>
        </w:rPr>
        <w:t>坚持招大引强与改造提升并举，激活扩大本地消费与吸引外来消费并重，逐步改造升级购物环境，优化业态结构。进一步打造汽车、农产品交易、家居等专业市场建设，提高产业集聚度，推动产业经营档次和效益提升。推动忻州古城、秀容商业街不断提质升级，加快打造网红经济、夜间经济、假日经济打卡点、集聚区，形成区域商圈名片。（责任单位：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人民政府，忻州经济开发区）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（十三）构建错位发展体系，积极推进太忻一体化建设。</w:t>
      </w:r>
      <w:r>
        <w:rPr>
          <w:rFonts w:hAnsi="仿宋_GB2312" w:eastAsia="仿宋_GB2312"/>
          <w:sz w:val="32"/>
          <w:szCs w:val="32"/>
        </w:rPr>
        <w:t>按照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一盘棋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思维与太原构建错位发展、有序竞争的商贸服务业发展体系，积极互联互通，进行共建共享，实现优势互补、达到互利共赢。双城联动举办惠民消费活动，打破区域壁垒，促进要素流动，鼓励和支持京津冀晋互设产业孵化园区，推进优秀孵化服务机构，落地太忻一体化经济区，促进创业创新高质量发展，充分发挥太忻市场一体化效能，推动商贸服务业向高品质和多样化升级。</w:t>
      </w:r>
      <w:bookmarkStart w:id="29" w:name="_Toc13866"/>
      <w:bookmarkStart w:id="30" w:name="_Toc22370"/>
      <w:bookmarkStart w:id="31" w:name="_Toc28664"/>
      <w:bookmarkStart w:id="32" w:name="_Toc28492"/>
      <w:bookmarkStart w:id="33" w:name="_Toc6627"/>
      <w:bookmarkStart w:id="34" w:name="_Toc19089"/>
      <w:bookmarkStart w:id="35" w:name="_Toc62377062"/>
      <w:r>
        <w:rPr>
          <w:rFonts w:hAnsi="仿宋_GB2312" w:eastAsia="仿宋_GB2312"/>
          <w:sz w:val="32"/>
          <w:szCs w:val="32"/>
        </w:rPr>
        <w:t>（责任单位：市工信局、各县</w:t>
      </w:r>
      <w:r>
        <w:rPr>
          <w:rFonts w:hint="eastAsia" w:eastAsia="仿宋_GB2312"/>
          <w:sz w:val="32"/>
          <w:szCs w:val="32"/>
        </w:rPr>
        <w:t>〈</w:t>
      </w:r>
      <w:r>
        <w:rPr>
          <w:rFonts w:hAnsi="仿宋_GB2312" w:eastAsia="仿宋_GB2312"/>
          <w:sz w:val="32"/>
          <w:szCs w:val="32"/>
        </w:rPr>
        <w:t>市、区</w:t>
      </w:r>
      <w:r>
        <w:rPr>
          <w:rFonts w:hint="eastAsia" w:eastAsia="仿宋_GB2312"/>
          <w:sz w:val="32"/>
          <w:szCs w:val="32"/>
        </w:rPr>
        <w:t>〉</w:t>
      </w:r>
      <w:r>
        <w:rPr>
          <w:rFonts w:hAnsi="仿宋_GB2312" w:eastAsia="仿宋_GB2312"/>
          <w:sz w:val="32"/>
          <w:szCs w:val="32"/>
        </w:rPr>
        <w:t>人民政府，忻州经济开发区）</w:t>
      </w:r>
    </w:p>
    <w:bookmarkEnd w:id="29"/>
    <w:bookmarkEnd w:id="30"/>
    <w:bookmarkEnd w:id="31"/>
    <w:bookmarkEnd w:id="32"/>
    <w:bookmarkEnd w:id="33"/>
    <w:bookmarkEnd w:id="34"/>
    <w:bookmarkEnd w:id="35"/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四、保障措施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（一）强化组织领导。</w:t>
      </w:r>
      <w:r>
        <w:rPr>
          <w:rFonts w:hAnsi="仿宋_GB2312" w:eastAsia="仿宋_GB2312"/>
          <w:sz w:val="32"/>
          <w:szCs w:val="32"/>
        </w:rPr>
        <w:t>各级各有关单位要统一思想，把外向型经济作为推动高质量经济发展的主要动力，主动融入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建设，进一步优化营商环境，做好促进外向型经济发展的政策支撑，完善高质量对外开放发展的体制机制。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（二）突出重点工作。</w:t>
      </w:r>
      <w:r>
        <w:rPr>
          <w:rFonts w:hAnsi="仿宋_GB2312" w:eastAsia="仿宋_GB2312"/>
          <w:sz w:val="32"/>
          <w:szCs w:val="32"/>
        </w:rPr>
        <w:t>各级各有关单位要创新推进外向型经济发展的重点举措，突出重点工作，完善相关政策、细化工作目标，强化责任落实，</w:t>
      </w:r>
      <w:bookmarkStart w:id="36" w:name="_Toc62377063"/>
      <w:bookmarkStart w:id="37" w:name="_Toc11689"/>
      <w:bookmarkStart w:id="38" w:name="_Toc11979"/>
      <w:bookmarkStart w:id="39" w:name="_Toc31687"/>
      <w:bookmarkStart w:id="40" w:name="_Toc15872"/>
      <w:bookmarkStart w:id="41" w:name="_Toc18609"/>
      <w:bookmarkStart w:id="42" w:name="_Toc9462"/>
      <w:r>
        <w:rPr>
          <w:rFonts w:hAnsi="仿宋_GB2312" w:eastAsia="仿宋_GB2312"/>
          <w:sz w:val="32"/>
          <w:szCs w:val="32"/>
        </w:rPr>
        <w:t>在促进对外投资、对外贸易、招商引资、开发区创新工作等方面，落实省、市有关政策措施，进一步创新举措，有效促进我市外向型经济发展。</w:t>
      </w:r>
    </w:p>
    <w:bookmarkEnd w:id="36"/>
    <w:bookmarkEnd w:id="37"/>
    <w:bookmarkEnd w:id="38"/>
    <w:bookmarkEnd w:id="39"/>
    <w:bookmarkEnd w:id="40"/>
    <w:bookmarkEnd w:id="41"/>
    <w:bookmarkEnd w:id="42"/>
    <w:p>
      <w:pPr>
        <w:pStyle w:val="29"/>
        <w:spacing w:before="0" w:after="0" w:line="560" w:lineRule="exact"/>
        <w:ind w:firstLine="640" w:firstLineChars="200"/>
        <w:jc w:val="both"/>
        <w:rPr>
          <w:rFonts w:ascii="Times New Roman" w:hAnsi="Times New Roman" w:eastAsia="仿宋_GB2312"/>
          <w:b w:val="0"/>
          <w:szCs w:val="32"/>
        </w:rPr>
      </w:pPr>
      <w:r>
        <w:rPr>
          <w:rFonts w:hint="eastAsia" w:ascii="楷体_GB2312" w:hAnsi="Times New Roman" w:eastAsia="楷体_GB2312"/>
          <w:b w:val="0"/>
          <w:bCs/>
          <w:szCs w:val="32"/>
        </w:rPr>
        <w:t>（三）强化协调沟通。</w:t>
      </w:r>
      <w:r>
        <w:rPr>
          <w:rFonts w:ascii="Times New Roman" w:hAnsi="仿宋_GB2312" w:eastAsia="仿宋_GB2312"/>
          <w:b w:val="0"/>
          <w:szCs w:val="32"/>
        </w:rPr>
        <w:t>各级各有关单位在推进工作中要做到信息共享，协调推进，形成有力有序的工作合力。统筹各项政策，统筹国际国内市场，统筹平台效应与重点推进工作，促进消费升级，服务畅通国内国际双循环战略、参与</w:t>
      </w:r>
      <w:r>
        <w:rPr>
          <w:rFonts w:ascii="Times New Roman" w:hAnsi="Times New Roman" w:eastAsia="仿宋_GB2312"/>
          <w:b w:val="0"/>
          <w:szCs w:val="32"/>
        </w:rPr>
        <w:t>“</w:t>
      </w:r>
      <w:r>
        <w:rPr>
          <w:rFonts w:ascii="Times New Roman" w:hAnsi="仿宋_GB2312" w:eastAsia="仿宋_GB2312"/>
          <w:b w:val="0"/>
          <w:szCs w:val="32"/>
        </w:rPr>
        <w:t>一带一路</w:t>
      </w:r>
      <w:r>
        <w:rPr>
          <w:rFonts w:ascii="Times New Roman" w:hAnsi="Times New Roman" w:eastAsia="仿宋_GB2312"/>
          <w:b w:val="0"/>
          <w:szCs w:val="32"/>
        </w:rPr>
        <w:t>”</w:t>
      </w:r>
      <w:r>
        <w:rPr>
          <w:rFonts w:ascii="Times New Roman" w:hAnsi="仿宋_GB2312" w:eastAsia="仿宋_GB2312"/>
          <w:b w:val="0"/>
          <w:szCs w:val="32"/>
        </w:rPr>
        <w:t>建设，提高综合竞争力。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（四）加大宣传力度。</w:t>
      </w:r>
      <w:r>
        <w:rPr>
          <w:rFonts w:hAnsi="仿宋_GB2312" w:eastAsia="仿宋_GB2312"/>
          <w:sz w:val="32"/>
          <w:szCs w:val="32"/>
        </w:rPr>
        <w:t>各级各单位要充分认清形势，切实增强责任感和紧迫感，结合各自实际、发挥各自优势，周密部署、迅速行动，充分利用网络、电视、报纸等多种媒体，聚焦新政策、新举措，全方位、多层次加强宣传报道，为我市扩大对外开放，提高开放程度，加强外向型经济发展营造浓厚氛围。</w:t>
      </w:r>
    </w:p>
    <w:p>
      <w:pPr>
        <w:spacing w:line="560" w:lineRule="exact"/>
        <w:ind w:firstLine="630"/>
        <w:rPr>
          <w:rFonts w:hint="eastAsia" w:eastAsia="仿宋_GB2312"/>
          <w:kern w:val="0"/>
          <w:sz w:val="32"/>
          <w:szCs w:val="32"/>
        </w:rPr>
      </w:pPr>
      <w:bookmarkStart w:id="43" w:name="_GoBack"/>
      <w:bookmarkEnd w:id="43"/>
    </w:p>
    <w:p>
      <w:pPr>
        <w:spacing w:line="560" w:lineRule="exact"/>
        <w:ind w:firstLine="630"/>
        <w:rPr>
          <w:rFonts w:hint="eastAsia" w:eastAsia="仿宋_GB2312"/>
          <w:kern w:val="0"/>
          <w:sz w:val="32"/>
          <w:szCs w:val="32"/>
        </w:rPr>
      </w:pPr>
    </w:p>
    <w:p>
      <w:pPr>
        <w:spacing w:line="560" w:lineRule="exact"/>
        <w:ind w:firstLine="630"/>
        <w:rPr>
          <w:rFonts w:hint="eastAsia" w:eastAsia="仿宋_GB2312"/>
          <w:kern w:val="0"/>
          <w:sz w:val="32"/>
          <w:szCs w:val="32"/>
        </w:rPr>
      </w:pPr>
    </w:p>
    <w:p>
      <w:pPr>
        <w:spacing w:line="560" w:lineRule="exact"/>
        <w:ind w:firstLine="630"/>
        <w:rPr>
          <w:rFonts w:hint="eastAsia" w:eastAsia="仿宋_GB2312"/>
          <w:kern w:val="0"/>
          <w:sz w:val="32"/>
          <w:szCs w:val="32"/>
        </w:rPr>
      </w:pPr>
    </w:p>
    <w:p>
      <w:pPr>
        <w:spacing w:line="560" w:lineRule="exact"/>
        <w:ind w:firstLine="630"/>
        <w:rPr>
          <w:rFonts w:eastAsia="仿宋_GB2312"/>
          <w:kern w:val="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6" o:spid="_x0000_s1766" o:spt="20" style="position:absolute;left:0pt;margin-top:2.5pt;height:0pt;width:441pt;mso-position-horizontal:center;z-index:251661312;mso-width-relative:page;mso-height-relative:page;" coordsize="21600,21600">
            <v:path arrowok="t"/>
            <v:fill focussize="0,0"/>
            <v:stroke weight="0.95pt"/>
            <v:imagedata o:title=""/>
            <o:lock v:ext="edit"/>
          </v:line>
        </w:pict>
      </w:r>
      <w:r>
        <w:rPr>
          <w:rFonts w:eastAsia="仿宋_GB2312"/>
          <w:color w:val="000000"/>
          <w:kern w:val="0"/>
          <w:sz w:val="28"/>
          <w:szCs w:val="28"/>
        </w:rPr>
        <w:t xml:space="preserve">  抄送：市委办公室，市人大常委会办公室，市政协办公室，市中级法 </w:t>
      </w:r>
    </w:p>
    <w:p>
      <w:pPr>
        <w:spacing w:line="500" w:lineRule="exact"/>
        <w:ind w:firstLine="1176" w:firstLineChars="42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院，市检察院。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</w:t>
      </w:r>
    </w:p>
    <w:p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4" o:spid="_x0000_s1764" o:spt="20" style="position:absolute;left:0pt;margin-left:0.75pt;margin-top:2.75pt;height:0pt;width:441pt;z-index:251659264;mso-width-relative:page;mso-height-relative:page;" coordsize="21600,21600">
            <v:path arrowok="t"/>
            <v:fill focussize="0,0"/>
            <v:stroke weight="0.55pt"/>
            <v:imagedata o:title=""/>
            <o:lock v:ext="edit"/>
          </v:line>
        </w:pict>
      </w:r>
      <w:r>
        <w:rPr>
          <w:rFonts w:eastAsia="仿宋_GB2312"/>
          <w:color w:val="000000"/>
          <w:kern w:val="0"/>
          <w:sz w:val="28"/>
          <w:szCs w:val="28"/>
        </w:rPr>
        <w:t xml:space="preserve">  忻州市人民政府办公室                   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</w:t>
      </w:r>
      <w:r>
        <w:rPr>
          <w:rFonts w:eastAsia="仿宋_GB2312"/>
          <w:color w:val="000000"/>
          <w:kern w:val="0"/>
          <w:sz w:val="28"/>
          <w:szCs w:val="28"/>
        </w:rPr>
        <w:t xml:space="preserve"> 202</w:t>
      </w:r>
      <w:r>
        <w:rPr>
          <w:rFonts w:hint="eastAsia"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/>
          <w:color w:val="000000"/>
          <w:kern w:val="0"/>
          <w:sz w:val="28"/>
          <w:szCs w:val="28"/>
        </w:rPr>
        <w:t>年</w:t>
      </w:r>
      <w:r>
        <w:rPr>
          <w:rFonts w:hint="eastAsia" w:eastAsia="仿宋_GB2312"/>
          <w:color w:val="000000"/>
          <w:kern w:val="0"/>
          <w:sz w:val="28"/>
          <w:szCs w:val="28"/>
        </w:rPr>
        <w:t>6</w:t>
      </w:r>
      <w:r>
        <w:rPr>
          <w:rFonts w:eastAsia="仿宋_GB2312"/>
          <w:color w:val="000000"/>
          <w:kern w:val="0"/>
          <w:sz w:val="28"/>
          <w:szCs w:val="28"/>
        </w:rPr>
        <w:t>月</w:t>
      </w:r>
      <w:r>
        <w:rPr>
          <w:rFonts w:hint="eastAsia" w:eastAsia="仿宋_GB2312"/>
          <w:color w:val="000000"/>
          <w:kern w:val="0"/>
          <w:sz w:val="28"/>
          <w:szCs w:val="28"/>
        </w:rPr>
        <w:t>12</w:t>
      </w:r>
      <w:r>
        <w:rPr>
          <w:rFonts w:eastAsia="仿宋_GB2312"/>
          <w:color w:val="000000"/>
          <w:kern w:val="0"/>
          <w:sz w:val="28"/>
          <w:szCs w:val="28"/>
        </w:rPr>
        <w:t xml:space="preserve">日印发 </w:t>
      </w:r>
    </w:p>
    <w:p>
      <w:pPr>
        <w:spacing w:line="500" w:lineRule="exact"/>
      </w:pPr>
      <w:r>
        <w:rPr>
          <w:rFonts w:eastAsia="仿宋_GB2312"/>
          <w:color w:val="000000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344170</wp:posOffset>
            </wp:positionV>
            <wp:extent cx="1952625" cy="638175"/>
            <wp:effectExtent l="19050" t="0" r="9525" b="0"/>
            <wp:wrapNone/>
            <wp:docPr id="2" name="图片 1" descr="C:\Users\Administrator\Desktop\20220615155918_0000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20220615155918_00001.jpg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  <w:kern w:val="0"/>
          <w:sz w:val="28"/>
          <w:szCs w:val="28"/>
        </w:rPr>
        <w:pict>
          <v:line id="_x0000_s1765" o:spid="_x0000_s1765" o:spt="20" style="position:absolute;left:0pt;margin-left:0pt;margin-top:3.25pt;height:0pt;width:441pt;z-index:251660288;mso-width-relative:page;mso-height-relative:page;" coordsize="21600,21600">
            <v:path arrowok="t"/>
            <v:fill focussize="0,0"/>
            <v:stroke weight="0.95pt"/>
            <v:imagedata o:title=""/>
            <o:lock v:ext="edit"/>
          </v:line>
        </w:pict>
      </w:r>
      <w:r>
        <w:rPr>
          <w:rFonts w:eastAsia="仿宋_GB2312"/>
          <w:color w:val="000000"/>
          <w:kern w:val="0"/>
          <w:sz w:val="28"/>
          <w:szCs w:val="28"/>
        </w:rPr>
        <w:t xml:space="preserve">                                                    共印1</w:t>
      </w:r>
      <w:r>
        <w:rPr>
          <w:rFonts w:hint="eastAsia" w:eastAsia="仿宋_GB2312"/>
          <w:color w:val="000000"/>
          <w:kern w:val="0"/>
          <w:sz w:val="28"/>
          <w:szCs w:val="28"/>
        </w:rPr>
        <w:t>6</w:t>
      </w:r>
      <w:r>
        <w:rPr>
          <w:rFonts w:eastAsia="仿宋_GB2312"/>
          <w:color w:val="000000"/>
          <w:kern w:val="0"/>
          <w:sz w:val="28"/>
          <w:szCs w:val="28"/>
        </w:rPr>
        <w:t>0份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7510"/>
      <w:docPartObj>
        <w:docPartGallery w:val="AutoText"/>
      </w:docPartObj>
    </w:sdtPr>
    <w:sdtContent>
      <w:p>
        <w:pPr>
          <w:pStyle w:val="19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7471"/>
      <w:docPartObj>
        <w:docPartGallery w:val="AutoText"/>
      </w:docPartObj>
    </w:sdtPr>
    <w:sdtContent>
      <w:p>
        <w:pPr>
          <w:pStyle w:val="19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10 -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7470"/>
      <w:docPartObj>
        <w:docPartGallery w:val="AutoText"/>
      </w:docPartObj>
    </w:sdtPr>
    <w:sdtContent>
      <w:p>
        <w:pPr>
          <w:pStyle w:val="1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1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31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A0"/>
    <w:rsid w:val="00002929"/>
    <w:rsid w:val="00003C02"/>
    <w:rsid w:val="000069EE"/>
    <w:rsid w:val="00007203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819"/>
    <w:rsid w:val="00061BC4"/>
    <w:rsid w:val="000636CA"/>
    <w:rsid w:val="000640A7"/>
    <w:rsid w:val="00065590"/>
    <w:rsid w:val="00065E31"/>
    <w:rsid w:val="00065E3F"/>
    <w:rsid w:val="00067FC4"/>
    <w:rsid w:val="00070930"/>
    <w:rsid w:val="0007137B"/>
    <w:rsid w:val="00071452"/>
    <w:rsid w:val="00071F6A"/>
    <w:rsid w:val="0007201A"/>
    <w:rsid w:val="00072273"/>
    <w:rsid w:val="00072B59"/>
    <w:rsid w:val="00072E8F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B03CF"/>
    <w:rsid w:val="000B0636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0EFB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48D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55961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F94"/>
    <w:rsid w:val="00182278"/>
    <w:rsid w:val="00183E4B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466"/>
    <w:rsid w:val="00196141"/>
    <w:rsid w:val="0019722A"/>
    <w:rsid w:val="001A0DCC"/>
    <w:rsid w:val="001A0F0E"/>
    <w:rsid w:val="001A2941"/>
    <w:rsid w:val="001A2B6D"/>
    <w:rsid w:val="001A2FA7"/>
    <w:rsid w:val="001A313C"/>
    <w:rsid w:val="001A324C"/>
    <w:rsid w:val="001A4178"/>
    <w:rsid w:val="001A5194"/>
    <w:rsid w:val="001A6040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C0ADF"/>
    <w:rsid w:val="001C0B21"/>
    <w:rsid w:val="001C11AE"/>
    <w:rsid w:val="001C14BF"/>
    <w:rsid w:val="001C202B"/>
    <w:rsid w:val="001C25CE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DC"/>
    <w:rsid w:val="001F56AC"/>
    <w:rsid w:val="001F6584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1D3"/>
    <w:rsid w:val="00253630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433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2F7F58"/>
    <w:rsid w:val="003004DF"/>
    <w:rsid w:val="00300592"/>
    <w:rsid w:val="00300734"/>
    <w:rsid w:val="00300FA0"/>
    <w:rsid w:val="00301C2E"/>
    <w:rsid w:val="0030285C"/>
    <w:rsid w:val="00302CED"/>
    <w:rsid w:val="0030377D"/>
    <w:rsid w:val="003039C1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936"/>
    <w:rsid w:val="0033732F"/>
    <w:rsid w:val="00337826"/>
    <w:rsid w:val="00337CDB"/>
    <w:rsid w:val="00340074"/>
    <w:rsid w:val="00342C89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2042"/>
    <w:rsid w:val="00362962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DEA"/>
    <w:rsid w:val="00395EBF"/>
    <w:rsid w:val="00396D08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3ABE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7A7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F0459"/>
    <w:rsid w:val="003F0A05"/>
    <w:rsid w:val="003F0A27"/>
    <w:rsid w:val="003F1721"/>
    <w:rsid w:val="003F34C3"/>
    <w:rsid w:val="003F4133"/>
    <w:rsid w:val="003F516E"/>
    <w:rsid w:val="003F606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07E1F"/>
    <w:rsid w:val="0041008C"/>
    <w:rsid w:val="00413F1C"/>
    <w:rsid w:val="0041476F"/>
    <w:rsid w:val="00414CFF"/>
    <w:rsid w:val="00414DD0"/>
    <w:rsid w:val="0041525C"/>
    <w:rsid w:val="004159A6"/>
    <w:rsid w:val="00415D0E"/>
    <w:rsid w:val="00415EA6"/>
    <w:rsid w:val="00416337"/>
    <w:rsid w:val="004165C2"/>
    <w:rsid w:val="004169C8"/>
    <w:rsid w:val="00416C3F"/>
    <w:rsid w:val="00417033"/>
    <w:rsid w:val="0042176A"/>
    <w:rsid w:val="004218AF"/>
    <w:rsid w:val="00421B79"/>
    <w:rsid w:val="0042297D"/>
    <w:rsid w:val="0042492C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44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327F"/>
    <w:rsid w:val="004650E9"/>
    <w:rsid w:val="00465DC4"/>
    <w:rsid w:val="0046686F"/>
    <w:rsid w:val="00466B92"/>
    <w:rsid w:val="00467138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3E5D"/>
    <w:rsid w:val="0048429C"/>
    <w:rsid w:val="00484CA9"/>
    <w:rsid w:val="00484FEB"/>
    <w:rsid w:val="0048547D"/>
    <w:rsid w:val="00485CB6"/>
    <w:rsid w:val="00486CA8"/>
    <w:rsid w:val="0048746B"/>
    <w:rsid w:val="00487667"/>
    <w:rsid w:val="00487682"/>
    <w:rsid w:val="00487F2E"/>
    <w:rsid w:val="00491348"/>
    <w:rsid w:val="0049399B"/>
    <w:rsid w:val="004944D2"/>
    <w:rsid w:val="004946AE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0BFD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3FC1"/>
    <w:rsid w:val="0050465C"/>
    <w:rsid w:val="00505C47"/>
    <w:rsid w:val="005069F5"/>
    <w:rsid w:val="00506B19"/>
    <w:rsid w:val="00510532"/>
    <w:rsid w:val="00510CDA"/>
    <w:rsid w:val="005114BD"/>
    <w:rsid w:val="00511805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56C3"/>
    <w:rsid w:val="00545893"/>
    <w:rsid w:val="00545D65"/>
    <w:rsid w:val="00545E0E"/>
    <w:rsid w:val="00545E5E"/>
    <w:rsid w:val="0054750C"/>
    <w:rsid w:val="00547854"/>
    <w:rsid w:val="00547B54"/>
    <w:rsid w:val="0055106B"/>
    <w:rsid w:val="005519E6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630"/>
    <w:rsid w:val="00565965"/>
    <w:rsid w:val="005663BD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1808"/>
    <w:rsid w:val="0059237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5D94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0CF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3CBE"/>
    <w:rsid w:val="00614762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F8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7EF8"/>
    <w:rsid w:val="006910C3"/>
    <w:rsid w:val="006916E5"/>
    <w:rsid w:val="00693952"/>
    <w:rsid w:val="0069504F"/>
    <w:rsid w:val="006953BB"/>
    <w:rsid w:val="00695F73"/>
    <w:rsid w:val="00696BD0"/>
    <w:rsid w:val="00696DA7"/>
    <w:rsid w:val="00697935"/>
    <w:rsid w:val="006A1279"/>
    <w:rsid w:val="006A181F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2FF1"/>
    <w:rsid w:val="006B3122"/>
    <w:rsid w:val="006B3BFB"/>
    <w:rsid w:val="006B3D24"/>
    <w:rsid w:val="006B483D"/>
    <w:rsid w:val="006B4899"/>
    <w:rsid w:val="006B5F9A"/>
    <w:rsid w:val="006B654E"/>
    <w:rsid w:val="006B6CB4"/>
    <w:rsid w:val="006B770B"/>
    <w:rsid w:val="006B7841"/>
    <w:rsid w:val="006C01D8"/>
    <w:rsid w:val="006C158C"/>
    <w:rsid w:val="006C2F28"/>
    <w:rsid w:val="006C377A"/>
    <w:rsid w:val="006C3D96"/>
    <w:rsid w:val="006C457B"/>
    <w:rsid w:val="006C5408"/>
    <w:rsid w:val="006C64B3"/>
    <w:rsid w:val="006C7D03"/>
    <w:rsid w:val="006C7E91"/>
    <w:rsid w:val="006D02AA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E7F92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23C"/>
    <w:rsid w:val="00740787"/>
    <w:rsid w:val="00740CE0"/>
    <w:rsid w:val="00741050"/>
    <w:rsid w:val="00741724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16D"/>
    <w:rsid w:val="00772664"/>
    <w:rsid w:val="00772B40"/>
    <w:rsid w:val="0077304F"/>
    <w:rsid w:val="0077384E"/>
    <w:rsid w:val="00773A01"/>
    <w:rsid w:val="00773FF2"/>
    <w:rsid w:val="00774493"/>
    <w:rsid w:val="007757F5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A98"/>
    <w:rsid w:val="00791531"/>
    <w:rsid w:val="007916C6"/>
    <w:rsid w:val="00793E58"/>
    <w:rsid w:val="007951D7"/>
    <w:rsid w:val="00795987"/>
    <w:rsid w:val="00795CF6"/>
    <w:rsid w:val="00796566"/>
    <w:rsid w:val="00797957"/>
    <w:rsid w:val="007A0191"/>
    <w:rsid w:val="007A034B"/>
    <w:rsid w:val="007A0A59"/>
    <w:rsid w:val="007A0E13"/>
    <w:rsid w:val="007A1078"/>
    <w:rsid w:val="007A1412"/>
    <w:rsid w:val="007A28F9"/>
    <w:rsid w:val="007A38E7"/>
    <w:rsid w:val="007A518D"/>
    <w:rsid w:val="007A58C7"/>
    <w:rsid w:val="007A5CB9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6DA0"/>
    <w:rsid w:val="007F72C3"/>
    <w:rsid w:val="00800604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1877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591"/>
    <w:rsid w:val="008D6F91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68BF"/>
    <w:rsid w:val="008E7589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D91"/>
    <w:rsid w:val="009152B7"/>
    <w:rsid w:val="009153E5"/>
    <w:rsid w:val="0091556C"/>
    <w:rsid w:val="009164AF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4626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670"/>
    <w:rsid w:val="0095772B"/>
    <w:rsid w:val="00957B44"/>
    <w:rsid w:val="00957F3C"/>
    <w:rsid w:val="0096058D"/>
    <w:rsid w:val="00961887"/>
    <w:rsid w:val="0096201E"/>
    <w:rsid w:val="0096222E"/>
    <w:rsid w:val="00962DC8"/>
    <w:rsid w:val="00963653"/>
    <w:rsid w:val="00963FD6"/>
    <w:rsid w:val="00964BD9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0EF8"/>
    <w:rsid w:val="009710AA"/>
    <w:rsid w:val="00971B9C"/>
    <w:rsid w:val="00972A31"/>
    <w:rsid w:val="00972C96"/>
    <w:rsid w:val="009735B0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2B1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31E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5B6"/>
    <w:rsid w:val="00A44F1A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256C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4D15"/>
    <w:rsid w:val="00AF4EED"/>
    <w:rsid w:val="00AF5B9D"/>
    <w:rsid w:val="00AF643D"/>
    <w:rsid w:val="00B0061F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81E"/>
    <w:rsid w:val="00B21E10"/>
    <w:rsid w:val="00B21FEC"/>
    <w:rsid w:val="00B2201A"/>
    <w:rsid w:val="00B22AB3"/>
    <w:rsid w:val="00B23798"/>
    <w:rsid w:val="00B23ECD"/>
    <w:rsid w:val="00B2453D"/>
    <w:rsid w:val="00B263CE"/>
    <w:rsid w:val="00B264E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E42"/>
    <w:rsid w:val="00B35506"/>
    <w:rsid w:val="00B36C89"/>
    <w:rsid w:val="00B37A50"/>
    <w:rsid w:val="00B37B70"/>
    <w:rsid w:val="00B40319"/>
    <w:rsid w:val="00B40A00"/>
    <w:rsid w:val="00B41189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079E"/>
    <w:rsid w:val="00BD1CE0"/>
    <w:rsid w:val="00BD31F7"/>
    <w:rsid w:val="00BD5E19"/>
    <w:rsid w:val="00BD689C"/>
    <w:rsid w:val="00BD6BA7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4F9C"/>
    <w:rsid w:val="00BE5826"/>
    <w:rsid w:val="00BE6CEC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37EC5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11CA"/>
    <w:rsid w:val="00C71C43"/>
    <w:rsid w:val="00C71CB6"/>
    <w:rsid w:val="00C71D3C"/>
    <w:rsid w:val="00C722DD"/>
    <w:rsid w:val="00C72322"/>
    <w:rsid w:val="00C72365"/>
    <w:rsid w:val="00C72D36"/>
    <w:rsid w:val="00C737C4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F12"/>
    <w:rsid w:val="00CF5582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599"/>
    <w:rsid w:val="00D2079F"/>
    <w:rsid w:val="00D20E4D"/>
    <w:rsid w:val="00D21152"/>
    <w:rsid w:val="00D252BB"/>
    <w:rsid w:val="00D27191"/>
    <w:rsid w:val="00D27985"/>
    <w:rsid w:val="00D30960"/>
    <w:rsid w:val="00D30EDC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CF2"/>
    <w:rsid w:val="00D42D71"/>
    <w:rsid w:val="00D439E2"/>
    <w:rsid w:val="00D43B40"/>
    <w:rsid w:val="00D43E0F"/>
    <w:rsid w:val="00D4481B"/>
    <w:rsid w:val="00D45F34"/>
    <w:rsid w:val="00D47A3E"/>
    <w:rsid w:val="00D50424"/>
    <w:rsid w:val="00D50F33"/>
    <w:rsid w:val="00D51A6D"/>
    <w:rsid w:val="00D51BE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5C1"/>
    <w:rsid w:val="00D6382C"/>
    <w:rsid w:val="00D6521C"/>
    <w:rsid w:val="00D65A24"/>
    <w:rsid w:val="00D66230"/>
    <w:rsid w:val="00D6669C"/>
    <w:rsid w:val="00D67D2B"/>
    <w:rsid w:val="00D707EA"/>
    <w:rsid w:val="00D711F8"/>
    <w:rsid w:val="00D717F0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80B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46FA"/>
    <w:rsid w:val="00D949EF"/>
    <w:rsid w:val="00D968DF"/>
    <w:rsid w:val="00D9764E"/>
    <w:rsid w:val="00DA0371"/>
    <w:rsid w:val="00DA1019"/>
    <w:rsid w:val="00DA1083"/>
    <w:rsid w:val="00DA11E3"/>
    <w:rsid w:val="00DA1612"/>
    <w:rsid w:val="00DA1DD6"/>
    <w:rsid w:val="00DA3868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9AB"/>
    <w:rsid w:val="00DC617D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1A70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B0B"/>
    <w:rsid w:val="00E70920"/>
    <w:rsid w:val="00E723EB"/>
    <w:rsid w:val="00E72722"/>
    <w:rsid w:val="00E74544"/>
    <w:rsid w:val="00E7505B"/>
    <w:rsid w:val="00E75572"/>
    <w:rsid w:val="00E7740B"/>
    <w:rsid w:val="00E77E49"/>
    <w:rsid w:val="00E804E7"/>
    <w:rsid w:val="00E80B4F"/>
    <w:rsid w:val="00E80CC9"/>
    <w:rsid w:val="00E81FD1"/>
    <w:rsid w:val="00E821E3"/>
    <w:rsid w:val="00E83BD7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CD3"/>
    <w:rsid w:val="00ED2D41"/>
    <w:rsid w:val="00ED34E4"/>
    <w:rsid w:val="00ED38E0"/>
    <w:rsid w:val="00ED430A"/>
    <w:rsid w:val="00ED5111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8799A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3233"/>
    <w:rsid w:val="00FB44A8"/>
    <w:rsid w:val="00FB48BB"/>
    <w:rsid w:val="00FB4AC7"/>
    <w:rsid w:val="00FB4B16"/>
    <w:rsid w:val="00FC13D0"/>
    <w:rsid w:val="00FC22FF"/>
    <w:rsid w:val="00FC2D46"/>
    <w:rsid w:val="00FC5023"/>
    <w:rsid w:val="00FC71BA"/>
    <w:rsid w:val="00FC73DC"/>
    <w:rsid w:val="00FD04A1"/>
    <w:rsid w:val="00FD1022"/>
    <w:rsid w:val="00FD1DC2"/>
    <w:rsid w:val="00FD2272"/>
    <w:rsid w:val="00FD24D1"/>
    <w:rsid w:val="00FD2708"/>
    <w:rsid w:val="00FD54B9"/>
    <w:rsid w:val="00FD6384"/>
    <w:rsid w:val="00FD63CC"/>
    <w:rsid w:val="00FD7020"/>
    <w:rsid w:val="00FD7712"/>
    <w:rsid w:val="00FE0DB0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78FD5672"/>
    <w:rsid w:val="B63F1A4F"/>
    <w:rsid w:val="B6B754ED"/>
    <w:rsid w:val="BFDF6E01"/>
    <w:rsid w:val="C5FF40F3"/>
    <w:rsid w:val="EEAB68E1"/>
    <w:rsid w:val="EFD93E34"/>
    <w:rsid w:val="F86F8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nhideWhenUsed="0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2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17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8">
    <w:name w:val="Document Map"/>
    <w:basedOn w:val="1"/>
    <w:link w:val="96"/>
    <w:qFormat/>
    <w:uiPriority w:val="0"/>
    <w:rPr>
      <w:rFonts w:ascii="宋体"/>
      <w:sz w:val="18"/>
      <w:szCs w:val="18"/>
    </w:rPr>
  </w:style>
  <w:style w:type="paragraph" w:styleId="9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10">
    <w:name w:val="annotation text"/>
    <w:basedOn w:val="1"/>
    <w:link w:val="70"/>
    <w:qFormat/>
    <w:uiPriority w:val="99"/>
    <w:pPr>
      <w:jc w:val="left"/>
    </w:pPr>
    <w:rPr>
      <w:szCs w:val="20"/>
    </w:rPr>
  </w:style>
  <w:style w:type="paragraph" w:styleId="11">
    <w:name w:val="Body Text 3"/>
    <w:basedOn w:val="1"/>
    <w:link w:val="74"/>
    <w:qFormat/>
    <w:uiPriority w:val="0"/>
    <w:pPr>
      <w:spacing w:after="120"/>
    </w:pPr>
    <w:rPr>
      <w:sz w:val="16"/>
      <w:szCs w:val="16"/>
    </w:rPr>
  </w:style>
  <w:style w:type="paragraph" w:styleId="12">
    <w:name w:val="Body Text"/>
    <w:basedOn w:val="1"/>
    <w:qFormat/>
    <w:uiPriority w:val="1"/>
    <w:pPr>
      <w:spacing w:after="120"/>
    </w:pPr>
  </w:style>
  <w:style w:type="paragraph" w:styleId="13">
    <w:name w:val="Body Text Indent"/>
    <w:basedOn w:val="1"/>
    <w:link w:val="104"/>
    <w:qFormat/>
    <w:uiPriority w:val="0"/>
    <w:pPr>
      <w:ind w:firstLine="435"/>
    </w:pPr>
    <w:rPr>
      <w:rFonts w:eastAsia="仿宋_GB2312"/>
      <w:sz w:val="32"/>
    </w:r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Plain Text"/>
    <w:basedOn w:val="1"/>
    <w:link w:val="109"/>
    <w:qFormat/>
    <w:uiPriority w:val="0"/>
    <w:rPr>
      <w:rFonts w:ascii="宋体" w:hAnsi="Courier New"/>
    </w:rPr>
  </w:style>
  <w:style w:type="paragraph" w:styleId="16">
    <w:name w:val="Date"/>
    <w:basedOn w:val="1"/>
    <w:next w:val="1"/>
    <w:qFormat/>
    <w:uiPriority w:val="0"/>
    <w:pPr>
      <w:ind w:left="100" w:leftChars="2500"/>
    </w:pPr>
  </w:style>
  <w:style w:type="paragraph" w:styleId="1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8">
    <w:name w:val="Balloon Text"/>
    <w:basedOn w:val="1"/>
    <w:semiHidden/>
    <w:qFormat/>
    <w:uiPriority w:val="0"/>
    <w:rPr>
      <w:sz w:val="18"/>
      <w:szCs w:val="18"/>
    </w:rPr>
  </w:style>
  <w:style w:type="paragraph" w:styleId="19">
    <w:name w:val="footer"/>
    <w:basedOn w:val="1"/>
    <w:link w:val="5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header"/>
    <w:basedOn w:val="1"/>
    <w:link w:val="4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1">
    <w:name w:val="toc 1"/>
    <w:basedOn w:val="1"/>
    <w:next w:val="1"/>
    <w:unhideWhenUsed/>
    <w:qFormat/>
    <w:uiPriority w:val="39"/>
  </w:style>
  <w:style w:type="paragraph" w:styleId="22">
    <w:name w:val="Subtitle"/>
    <w:basedOn w:val="1"/>
    <w:next w:val="1"/>
    <w:link w:val="92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3">
    <w:name w:val="footnote text"/>
    <w:basedOn w:val="1"/>
    <w:link w:val="99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5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6">
    <w:name w:val="Body Text 2"/>
    <w:basedOn w:val="1"/>
    <w:link w:val="88"/>
    <w:qFormat/>
    <w:uiPriority w:val="0"/>
    <w:pPr>
      <w:spacing w:after="120" w:line="480" w:lineRule="auto"/>
    </w:pPr>
  </w:style>
  <w:style w:type="paragraph" w:styleId="27">
    <w:name w:val="HTML Preformatted"/>
    <w:basedOn w:val="1"/>
    <w:link w:val="106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9">
    <w:name w:val="Title"/>
    <w:basedOn w:val="1"/>
    <w:next w:val="1"/>
    <w:link w:val="103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0">
    <w:name w:val="Body Text First Indent 2"/>
    <w:basedOn w:val="13"/>
    <w:link w:val="105"/>
    <w:unhideWhenUsed/>
    <w:qFormat/>
    <w:uiPriority w:val="0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basedOn w:val="33"/>
    <w:qFormat/>
    <w:uiPriority w:val="0"/>
    <w:rPr>
      <w:b/>
      <w:bCs/>
    </w:rPr>
  </w:style>
  <w:style w:type="character" w:styleId="35">
    <w:name w:val="page number"/>
    <w:basedOn w:val="33"/>
    <w:qFormat/>
    <w:uiPriority w:val="99"/>
  </w:style>
  <w:style w:type="character" w:styleId="36">
    <w:name w:val="Emphasis"/>
    <w:basedOn w:val="33"/>
    <w:qFormat/>
    <w:uiPriority w:val="0"/>
    <w:rPr>
      <w:i/>
      <w:iCs/>
    </w:rPr>
  </w:style>
  <w:style w:type="character" w:styleId="37">
    <w:name w:val="Hyperlink"/>
    <w:basedOn w:val="33"/>
    <w:qFormat/>
    <w:uiPriority w:val="99"/>
    <w:rPr>
      <w:color w:val="0000FF"/>
      <w:u w:val="single"/>
    </w:rPr>
  </w:style>
  <w:style w:type="character" w:customStyle="1" w:styleId="38">
    <w:name w:val="标题 1 Char"/>
    <w:basedOn w:val="33"/>
    <w:link w:val="2"/>
    <w:qFormat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9">
    <w:name w:val="标题 2 Char"/>
    <w:basedOn w:val="33"/>
    <w:link w:val="3"/>
    <w:qFormat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40">
    <w:name w:val="标题 3 Char"/>
    <w:basedOn w:val="33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41">
    <w:name w:val="_Style 5"/>
    <w:basedOn w:val="1"/>
    <w:qFormat/>
    <w:uiPriority w:val="0"/>
  </w:style>
  <w:style w:type="character" w:customStyle="1" w:styleId="42">
    <w:name w:val="ca-3"/>
    <w:basedOn w:val="33"/>
    <w:qFormat/>
    <w:uiPriority w:val="0"/>
  </w:style>
  <w:style w:type="character" w:customStyle="1" w:styleId="43">
    <w:name w:val="16"/>
    <w:basedOn w:val="33"/>
    <w:qFormat/>
    <w:uiPriority w:val="0"/>
  </w:style>
  <w:style w:type="character" w:customStyle="1" w:styleId="44">
    <w:name w:val="biaoti-61"/>
    <w:basedOn w:val="33"/>
    <w:qFormat/>
    <w:uiPriority w:val="0"/>
    <w:rPr>
      <w:b/>
      <w:bCs/>
      <w:color w:val="000066"/>
      <w:sz w:val="30"/>
      <w:szCs w:val="30"/>
    </w:rPr>
  </w:style>
  <w:style w:type="character" w:customStyle="1" w:styleId="45">
    <w:name w:val="scayt-misspell"/>
    <w:basedOn w:val="33"/>
    <w:qFormat/>
    <w:uiPriority w:val="0"/>
  </w:style>
  <w:style w:type="character" w:customStyle="1" w:styleId="46">
    <w:name w:val="ht1"/>
    <w:basedOn w:val="33"/>
    <w:qFormat/>
    <w:uiPriority w:val="0"/>
  </w:style>
  <w:style w:type="character" w:customStyle="1" w:styleId="47">
    <w:name w:val="我的正文 Char Char"/>
    <w:basedOn w:val="33"/>
    <w:link w:val="48"/>
    <w:qFormat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8">
    <w:name w:val="我的正文"/>
    <w:basedOn w:val="1"/>
    <w:link w:val="47"/>
    <w:qFormat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9">
    <w:name w:val="页眉 Char"/>
    <w:basedOn w:val="33"/>
    <w:link w:val="20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0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1">
    <w:name w:val="Char1"/>
    <w:basedOn w:val="1"/>
    <w:qFormat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52">
    <w:name w:val="页脚 Char"/>
    <w:basedOn w:val="33"/>
    <w:link w:val="19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4">
    <w:name w:val="报告正文1"/>
    <w:basedOn w:val="1"/>
    <w:qFormat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5">
    <w:name w:val="Char Char Char1 Char Char Char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6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7">
    <w:name w:val="标题5"/>
    <w:basedOn w:val="1"/>
    <w:next w:val="1"/>
    <w:qFormat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9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60">
    <w:name w:val="列出段落1"/>
    <w:basedOn w:val="1"/>
    <w:qFormat/>
    <w:uiPriority w:val="34"/>
    <w:pPr>
      <w:ind w:firstLine="420" w:firstLineChars="200"/>
    </w:pPr>
  </w:style>
  <w:style w:type="paragraph" w:customStyle="1" w:styleId="61">
    <w:name w:val="Char1 Char Char Char"/>
    <w:basedOn w:val="1"/>
    <w:qFormat/>
    <w:uiPriority w:val="0"/>
    <w:pPr>
      <w:spacing w:line="360" w:lineRule="auto"/>
    </w:pPr>
  </w:style>
  <w:style w:type="paragraph" w:customStyle="1" w:styleId="62">
    <w:name w:val="w1"/>
    <w:basedOn w:val="1"/>
    <w:qFormat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3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reader-word-layer reader-word-s2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默认段落字体 Para Char Char Char Char"/>
    <w:basedOn w:val="1"/>
    <w:qFormat/>
    <w:uiPriority w:val="0"/>
  </w:style>
  <w:style w:type="character" w:customStyle="1" w:styleId="70">
    <w:name w:val="批注文字 Char"/>
    <w:basedOn w:val="33"/>
    <w:link w:val="10"/>
    <w:qFormat/>
    <w:uiPriority w:val="99"/>
    <w:rPr>
      <w:kern w:val="2"/>
      <w:sz w:val="21"/>
    </w:rPr>
  </w:style>
  <w:style w:type="character" w:customStyle="1" w:styleId="71">
    <w:name w:val="font121"/>
    <w:basedOn w:val="33"/>
    <w:qFormat/>
    <w:uiPriority w:val="0"/>
    <w:rPr>
      <w:sz w:val="18"/>
      <w:szCs w:val="18"/>
    </w:rPr>
  </w:style>
  <w:style w:type="paragraph" w:customStyle="1" w:styleId="72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3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4">
    <w:name w:val="正文文本 3 Char"/>
    <w:basedOn w:val="33"/>
    <w:link w:val="11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6">
    <w:name w:val="Char Char Char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8">
    <w:name w:val="Char Char Char Char"/>
    <w:basedOn w:val="1"/>
    <w:qFormat/>
    <w:uiPriority w:val="0"/>
  </w:style>
  <w:style w:type="character" w:customStyle="1" w:styleId="79">
    <w:name w:val="15"/>
    <w:basedOn w:val="33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80">
    <w:name w:val="Character Style 2"/>
    <w:qFormat/>
    <w:uiPriority w:val="0"/>
    <w:rPr>
      <w:rFonts w:cs="Times New Roman"/>
    </w:rPr>
  </w:style>
  <w:style w:type="paragraph" w:customStyle="1" w:styleId="81">
    <w:name w:val="Style 1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82">
    <w:name w:val="apple-converted-space"/>
    <w:basedOn w:val="33"/>
    <w:qFormat/>
    <w:uiPriority w:val="0"/>
  </w:style>
  <w:style w:type="paragraph" w:customStyle="1" w:styleId="83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4">
    <w:name w:val="Header Char"/>
    <w:basedOn w:val="3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5">
    <w:name w:val="Footer Char"/>
    <w:basedOn w:val="3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6">
    <w:name w:val="p18"/>
    <w:basedOn w:val="1"/>
    <w:qFormat/>
    <w:uiPriority w:val="0"/>
    <w:pPr>
      <w:widowControl/>
    </w:pPr>
    <w:rPr>
      <w:kern w:val="0"/>
      <w:szCs w:val="21"/>
    </w:rPr>
  </w:style>
  <w:style w:type="paragraph" w:styleId="8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8">
    <w:name w:val="正文文本 2 Char"/>
    <w:basedOn w:val="33"/>
    <w:link w:val="26"/>
    <w:qFormat/>
    <w:uiPriority w:val="0"/>
    <w:rPr>
      <w:kern w:val="2"/>
      <w:sz w:val="21"/>
      <w:szCs w:val="24"/>
    </w:rPr>
  </w:style>
  <w:style w:type="character" w:customStyle="1" w:styleId="89">
    <w:name w:val="副标题 Char"/>
    <w:basedOn w:val="33"/>
    <w:link w:val="22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90">
    <w:name w:val="Char Char"/>
    <w:basedOn w:val="33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91">
    <w:name w:val="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2">
    <w:name w:val="副标题 Char1"/>
    <w:basedOn w:val="33"/>
    <w:link w:val="22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3">
    <w:name w:val="No Spacing"/>
    <w:link w:val="94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4">
    <w:name w:val="无间隔 Char"/>
    <w:basedOn w:val="33"/>
    <w:link w:val="93"/>
    <w:qFormat/>
    <w:uiPriority w:val="1"/>
    <w:rPr>
      <w:kern w:val="2"/>
      <w:sz w:val="21"/>
      <w:szCs w:val="24"/>
      <w:lang w:val="en-US" w:eastAsia="zh-CN" w:bidi="ar-SA"/>
    </w:rPr>
  </w:style>
  <w:style w:type="paragraph" w:customStyle="1" w:styleId="9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6">
    <w:name w:val="文档结构图 Char"/>
    <w:basedOn w:val="33"/>
    <w:link w:val="8"/>
    <w:qFormat/>
    <w:uiPriority w:val="0"/>
    <w:rPr>
      <w:rFonts w:ascii="宋体"/>
      <w:kern w:val="2"/>
      <w:sz w:val="18"/>
      <w:szCs w:val="18"/>
    </w:rPr>
  </w:style>
  <w:style w:type="paragraph" w:customStyle="1" w:styleId="97">
    <w:name w:val="样式 标题 1 + 两端对齐 首行缩进:  2 字符"/>
    <w:basedOn w:val="2"/>
    <w:qFormat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8">
    <w:name w:val="样式 标题 1 + 首行缩进:  2 字符"/>
    <w:basedOn w:val="2"/>
    <w:qFormat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9">
    <w:name w:val="脚注文本 Char"/>
    <w:basedOn w:val="33"/>
    <w:link w:val="23"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100">
    <w:name w:val="NormalCharacter"/>
    <w:qFormat/>
    <w:uiPriority w:val="0"/>
  </w:style>
  <w:style w:type="paragraph" w:customStyle="1" w:styleId="101">
    <w:name w:val="正文首行缩进 21"/>
    <w:basedOn w:val="1"/>
    <w:next w:val="28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102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3">
    <w:name w:val="标题 Char"/>
    <w:basedOn w:val="33"/>
    <w:link w:val="29"/>
    <w:qFormat/>
    <w:uiPriority w:val="0"/>
    <w:rPr>
      <w:rFonts w:ascii="Arial" w:hAnsi="Arial"/>
      <w:b/>
      <w:kern w:val="2"/>
      <w:sz w:val="32"/>
      <w:szCs w:val="24"/>
    </w:rPr>
  </w:style>
  <w:style w:type="character" w:customStyle="1" w:styleId="104">
    <w:name w:val="正文文本缩进 Char"/>
    <w:basedOn w:val="33"/>
    <w:link w:val="13"/>
    <w:qFormat/>
    <w:uiPriority w:val="0"/>
    <w:rPr>
      <w:rFonts w:eastAsia="仿宋_GB2312"/>
      <w:kern w:val="2"/>
      <w:sz w:val="32"/>
      <w:szCs w:val="24"/>
    </w:rPr>
  </w:style>
  <w:style w:type="character" w:customStyle="1" w:styleId="105">
    <w:name w:val="正文首行缩进 2 Char"/>
    <w:basedOn w:val="104"/>
    <w:link w:val="30"/>
    <w:qFormat/>
    <w:uiPriority w:val="99"/>
    <w:rPr>
      <w:rFonts w:ascii="Calibri" w:hAnsi="Calibri"/>
      <w:sz w:val="21"/>
    </w:rPr>
  </w:style>
  <w:style w:type="character" w:customStyle="1" w:styleId="106">
    <w:name w:val="HTML 预设格式 Char"/>
    <w:basedOn w:val="33"/>
    <w:link w:val="27"/>
    <w:qFormat/>
    <w:uiPriority w:val="0"/>
    <w:rPr>
      <w:rFonts w:ascii="宋体" w:hAnsi="宋体" w:cs="宋体"/>
      <w:sz w:val="24"/>
      <w:szCs w:val="24"/>
    </w:rPr>
  </w:style>
  <w:style w:type="paragraph" w:customStyle="1" w:styleId="107">
    <w:name w:val="List Paragraph1"/>
    <w:basedOn w:val="1"/>
    <w:qFormat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8">
    <w:name w:val="列出段落2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9">
    <w:name w:val="纯文本 Char"/>
    <w:basedOn w:val="33"/>
    <w:link w:val="15"/>
    <w:qFormat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10">
    <w:name w:val="font51"/>
    <w:basedOn w:val="33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11">
    <w:name w:val="font41"/>
    <w:basedOn w:val="33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12">
    <w:name w:val="标题 4 Char"/>
    <w:basedOn w:val="33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3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4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5">
    <w:name w:val="引文目录1"/>
    <w:qFormat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6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7">
    <w:name w:val="标题 5 Char"/>
    <w:basedOn w:val="33"/>
    <w:link w:val="6"/>
    <w:semiHidden/>
    <w:qFormat/>
    <w:uiPriority w:val="0"/>
    <w:rPr>
      <w:b/>
      <w:bCs/>
      <w:kern w:val="2"/>
      <w:sz w:val="28"/>
      <w:szCs w:val="28"/>
    </w:rPr>
  </w:style>
  <w:style w:type="paragraph" w:customStyle="1" w:styleId="118">
    <w:name w:val="TableOfAuthoring"/>
    <w:basedOn w:val="1"/>
    <w:next w:val="1"/>
    <w:qFormat/>
    <w:uiPriority w:val="0"/>
    <w:pPr>
      <w:ind w:left="420" w:leftChars="200"/>
      <w:textAlignment w:val="baseline"/>
    </w:pPr>
  </w:style>
  <w:style w:type="paragraph" w:customStyle="1" w:styleId="119">
    <w:name w:val="Heading5"/>
    <w:basedOn w:val="1"/>
    <w:next w:val="1"/>
    <w:qFormat/>
    <w:uiPriority w:val="0"/>
    <w:pPr>
      <w:snapToGrid w:val="0"/>
      <w:spacing w:line="360" w:lineRule="auto"/>
      <w:ind w:firstLine="200" w:firstLineChars="200"/>
      <w:textAlignment w:val="baseline"/>
    </w:pPr>
    <w:rPr>
      <w:rFonts w:ascii="仿宋_GB2312" w:hAnsi="Calibri" w:eastAsia="仿宋_GB2312"/>
      <w:sz w:val="32"/>
      <w:szCs w:val="28"/>
    </w:rPr>
  </w:style>
  <w:style w:type="paragraph" w:customStyle="1" w:styleId="120">
    <w:name w:val="Body Text First Indent 21"/>
    <w:basedOn w:val="1"/>
    <w:qFormat/>
    <w:uiPriority w:val="0"/>
    <w:pPr>
      <w:spacing w:after="120"/>
      <w:ind w:left="420" w:leftChars="200" w:firstLine="420" w:firstLineChars="200"/>
    </w:pPr>
  </w:style>
  <w:style w:type="paragraph" w:customStyle="1" w:styleId="121">
    <w:name w:val="无间隔1"/>
    <w:qFormat/>
    <w:uiPriority w:val="0"/>
    <w:pPr>
      <w:widowControl w:val="0"/>
      <w:ind w:firstLine="20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paragraph" w:customStyle="1" w:styleId="122">
    <w:name w:val="BodyText"/>
    <w:basedOn w:val="1"/>
    <w:qFormat/>
    <w:uiPriority w:val="0"/>
    <w:pPr>
      <w:spacing w:after="120"/>
      <w:textAlignment w:val="baseline"/>
    </w:pPr>
    <w:rPr>
      <w:szCs w:val="20"/>
    </w:rPr>
  </w:style>
  <w:style w:type="paragraph" w:customStyle="1" w:styleId="123">
    <w:name w:val="二级标题 Char Char Char"/>
    <w:basedOn w:val="1"/>
    <w:next w:val="1"/>
    <w:qFormat/>
    <w:uiPriority w:val="0"/>
    <w:pPr>
      <w:ind w:firstLine="200" w:firstLineChars="200"/>
    </w:pPr>
    <w:rPr>
      <w:rFonts w:eastAsia="Times New Roman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766"/>
    <customShpInfo spid="_x0000_s1764"/>
    <customShpInfo spid="_x0000_s17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10</Pages>
  <Words>792</Words>
  <Characters>4521</Characters>
  <Lines>37</Lines>
  <Paragraphs>10</Paragraphs>
  <TotalTime>34</TotalTime>
  <ScaleCrop>false</ScaleCrop>
  <LinksUpToDate>false</LinksUpToDate>
  <CharactersWithSpaces>5303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2022-06-15T16:06:00Z</dcterms:created>
  <dc:creator>Administrator</dc:creator>
  <cp:lastModifiedBy>kylin</cp:lastModifiedBy>
  <cp:lastPrinted>2022-06-15T16:20:00Z</cp:lastPrinted>
  <dcterms:modified xsi:type="dcterms:W3CDTF">2023-03-13T10:52:17Z</dcterms:modified>
  <dc:title>忻州市人民政府办公厅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