
<file path=[Content_Types].xml><?xml version="1.0" encoding="utf-8"?>
<Types xmlns="http://schemas.openxmlformats.org/package/2006/content-types">
  <Default Extension="xml" ContentType="application/xml"/>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240" w:lineRule="exact"/>
        <w:ind w:firstLine="640" w:firstLineChars="200"/>
        <w:rPr>
          <w:rFonts w:eastAsia="仿宋_GB2312"/>
          <w:color w:val="000000"/>
          <w:sz w:val="32"/>
          <w:szCs w:val="32"/>
        </w:rPr>
      </w:pPr>
    </w:p>
    <w:p>
      <w:pPr>
        <w:spacing w:line="560" w:lineRule="exact"/>
        <w:jc w:val="center"/>
        <w:rPr>
          <w:rFonts w:eastAsia="仿宋_GB2312"/>
          <w:color w:val="000000"/>
          <w:sz w:val="32"/>
          <w:szCs w:val="32"/>
        </w:rPr>
      </w:pPr>
      <w:r>
        <w:rPr>
          <w:rFonts w:eastAsia="仿宋_GB2312"/>
          <w:color w:val="000000"/>
          <w:sz w:val="32"/>
          <w:szCs w:val="32"/>
        </w:rPr>
        <w:t>忻政办发〔202</w:t>
      </w:r>
      <w:r>
        <w:rPr>
          <w:rFonts w:hint="eastAsia" w:eastAsia="仿宋_GB2312"/>
          <w:color w:val="000000"/>
          <w:sz w:val="32"/>
          <w:szCs w:val="32"/>
        </w:rPr>
        <w:t>2</w:t>
      </w:r>
      <w:r>
        <w:rPr>
          <w:rFonts w:eastAsia="仿宋_GB2312"/>
          <w:color w:val="000000"/>
          <w:sz w:val="32"/>
          <w:szCs w:val="32"/>
        </w:rPr>
        <w:t>〕</w:t>
      </w:r>
      <w:r>
        <w:rPr>
          <w:rFonts w:hint="eastAsia" w:eastAsia="仿宋_GB2312"/>
          <w:color w:val="000000"/>
          <w:sz w:val="32"/>
          <w:szCs w:val="32"/>
        </w:rPr>
        <w:t>36</w:t>
      </w:r>
      <w:r>
        <w:rPr>
          <w:rFonts w:eastAsia="仿宋_GB2312"/>
          <w:color w:val="000000"/>
          <w:sz w:val="32"/>
          <w:szCs w:val="32"/>
        </w:rPr>
        <w:t>号</w:t>
      </w:r>
    </w:p>
    <w:p>
      <w:pPr>
        <w:spacing w:line="560" w:lineRule="exact"/>
        <w:ind w:firstLine="640" w:firstLineChars="200"/>
        <w:rPr>
          <w:rFonts w:eastAsia="仿宋_GB2312"/>
          <w:color w:val="000000"/>
          <w:sz w:val="32"/>
          <w:szCs w:val="32"/>
        </w:rPr>
      </w:pPr>
    </w:p>
    <w:p>
      <w:pPr>
        <w:spacing w:line="400" w:lineRule="exact"/>
        <w:ind w:firstLine="640" w:firstLineChars="200"/>
        <w:rPr>
          <w:rFonts w:eastAsia="仿宋_GB2312"/>
          <w:color w:val="000000"/>
          <w:sz w:val="32"/>
          <w:szCs w:val="32"/>
        </w:rPr>
      </w:pPr>
    </w:p>
    <w:p>
      <w:pPr>
        <w:spacing w:line="580" w:lineRule="exact"/>
        <w:jc w:val="center"/>
        <w:rPr>
          <w:rFonts w:eastAsia="方正大标宋简体"/>
          <w:sz w:val="44"/>
          <w:szCs w:val="44"/>
        </w:rPr>
      </w:pPr>
      <w:r>
        <w:rPr>
          <w:rFonts w:eastAsia="方正大标宋简体"/>
          <w:sz w:val="44"/>
          <w:szCs w:val="44"/>
        </w:rPr>
        <w:t>忻州市人民政府办公室</w:t>
      </w:r>
    </w:p>
    <w:p>
      <w:pPr>
        <w:spacing w:line="580" w:lineRule="exact"/>
        <w:jc w:val="center"/>
        <w:rPr>
          <w:rFonts w:eastAsia="方正大标宋简体"/>
          <w:sz w:val="44"/>
          <w:szCs w:val="44"/>
        </w:rPr>
      </w:pPr>
      <w:r>
        <w:rPr>
          <w:rFonts w:hint="eastAsia" w:eastAsia="方正大标宋简体"/>
          <w:sz w:val="44"/>
          <w:szCs w:val="44"/>
        </w:rPr>
        <w:t>关于印发加大纾困帮扶力度支持中小企业</w:t>
      </w:r>
    </w:p>
    <w:p>
      <w:pPr>
        <w:spacing w:line="580" w:lineRule="exact"/>
        <w:jc w:val="center"/>
        <w:rPr>
          <w:rFonts w:eastAsia="方正大标宋简体"/>
          <w:sz w:val="44"/>
          <w:szCs w:val="44"/>
        </w:rPr>
      </w:pPr>
      <w:r>
        <w:rPr>
          <w:rFonts w:hint="eastAsia" w:eastAsia="方正大标宋简体"/>
          <w:sz w:val="44"/>
          <w:szCs w:val="44"/>
        </w:rPr>
        <w:t>平稳健康发展若干措施的通知</w:t>
      </w:r>
    </w:p>
    <w:p>
      <w:pPr>
        <w:spacing w:line="560" w:lineRule="exact"/>
        <w:rPr>
          <w:rFonts w:eastAsia="仿宋_GB2312"/>
          <w:color w:val="000000"/>
          <w:kern w:val="0"/>
          <w:sz w:val="32"/>
          <w:szCs w:val="32"/>
        </w:rPr>
      </w:pPr>
    </w:p>
    <w:p>
      <w:pPr>
        <w:widowControl/>
        <w:shd w:val="clear" w:color="auto" w:fill="FFFFFF"/>
        <w:spacing w:line="560" w:lineRule="exact"/>
        <w:rPr>
          <w:rFonts w:eastAsia="仿宋_GB2312"/>
          <w:color w:val="000000"/>
          <w:kern w:val="0"/>
          <w:sz w:val="32"/>
          <w:szCs w:val="32"/>
        </w:rPr>
      </w:pPr>
      <w:r>
        <w:rPr>
          <w:rFonts w:hAnsi="仿宋_GB2312" w:eastAsia="仿宋_GB2312"/>
          <w:color w:val="000000"/>
          <w:kern w:val="0"/>
          <w:sz w:val="32"/>
          <w:szCs w:val="32"/>
        </w:rPr>
        <w:t>各县（市、区）人民政府，忻州经济开发区管委会，五台山风景名胜区管委会，市人民政府各委、办、局：</w:t>
      </w:r>
    </w:p>
    <w:p>
      <w:pPr>
        <w:spacing w:line="560" w:lineRule="exact"/>
        <w:rPr>
          <w:rFonts w:eastAsia="仿宋_GB2312"/>
          <w:color w:val="000000"/>
          <w:kern w:val="0"/>
          <w:sz w:val="32"/>
          <w:szCs w:val="32"/>
        </w:rPr>
      </w:pPr>
      <w:r>
        <w:rPr>
          <w:rFonts w:eastAsia="仿宋_GB2312"/>
          <w:color w:val="000000"/>
          <w:kern w:val="0"/>
          <w:sz w:val="32"/>
          <w:szCs w:val="32"/>
        </w:rPr>
        <w:t xml:space="preserve">  </w:t>
      </w:r>
      <w:r>
        <w:rPr>
          <w:rFonts w:hint="eastAsia" w:eastAsia="仿宋_GB2312"/>
          <w:color w:val="000000"/>
          <w:kern w:val="0"/>
          <w:sz w:val="32"/>
          <w:szCs w:val="32"/>
        </w:rPr>
        <w:t xml:space="preserve">  </w:t>
      </w:r>
      <w:r>
        <w:rPr>
          <w:rFonts w:hAnsi="仿宋_GB2312" w:eastAsia="仿宋_GB2312"/>
          <w:color w:val="000000"/>
          <w:kern w:val="0"/>
          <w:sz w:val="32"/>
          <w:szCs w:val="32"/>
        </w:rPr>
        <w:t>《</w:t>
      </w:r>
      <w:r>
        <w:rPr>
          <w:rFonts w:hAnsi="仿宋_GB2312" w:eastAsia="仿宋_GB2312"/>
          <w:sz w:val="32"/>
          <w:szCs w:val="32"/>
        </w:rPr>
        <w:t>加大纾困帮扶力度支持中小企业平稳健康发展若干措施</w:t>
      </w:r>
      <w:r>
        <w:rPr>
          <w:rFonts w:hAnsi="仿宋_GB2312" w:eastAsia="仿宋_GB2312"/>
          <w:color w:val="000000"/>
          <w:kern w:val="0"/>
          <w:sz w:val="32"/>
          <w:szCs w:val="32"/>
        </w:rPr>
        <w:t>》已经市人民政府同意，现印发给你们，请认真贯彻落实。</w:t>
      </w:r>
    </w:p>
    <w:p>
      <w:pPr>
        <w:widowControl/>
        <w:shd w:val="clear" w:color="auto" w:fill="FFFFFF"/>
        <w:spacing w:line="560" w:lineRule="exact"/>
        <w:ind w:firstLine="480"/>
        <w:rPr>
          <w:rFonts w:eastAsia="仿宋_GB2312"/>
          <w:color w:val="000000"/>
          <w:kern w:val="0"/>
          <w:sz w:val="32"/>
          <w:szCs w:val="32"/>
        </w:rPr>
      </w:pPr>
    </w:p>
    <w:p>
      <w:pPr>
        <w:pStyle w:val="4"/>
        <w:spacing w:before="0" w:after="0" w:line="560" w:lineRule="exact"/>
        <w:rPr>
          <w:b w:val="0"/>
        </w:rPr>
      </w:pPr>
    </w:p>
    <w:p>
      <w:pPr>
        <w:widowControl/>
        <w:shd w:val="clear" w:color="auto" w:fill="FFFFFF"/>
        <w:wordWrap w:val="0"/>
        <w:spacing w:line="560" w:lineRule="exact"/>
        <w:ind w:firstLine="480"/>
        <w:jc w:val="right"/>
        <w:rPr>
          <w:rFonts w:eastAsia="仿宋_GB2312"/>
          <w:color w:val="000000"/>
          <w:kern w:val="0"/>
          <w:sz w:val="32"/>
          <w:szCs w:val="32"/>
        </w:rPr>
      </w:pPr>
      <w:r>
        <w:rPr>
          <w:rFonts w:hAnsi="仿宋_GB2312" w:eastAsia="仿宋_GB2312"/>
          <w:color w:val="000000"/>
          <w:kern w:val="0"/>
          <w:sz w:val="32"/>
          <w:szCs w:val="32"/>
        </w:rPr>
        <w:t>忻州市人民政府办公室</w:t>
      </w:r>
      <w:r>
        <w:rPr>
          <w:rFonts w:hint="eastAsia" w:hAnsi="仿宋_GB2312" w:eastAsia="仿宋_GB2312"/>
          <w:color w:val="000000"/>
          <w:kern w:val="0"/>
          <w:sz w:val="32"/>
          <w:szCs w:val="32"/>
        </w:rPr>
        <w:t xml:space="preserve">      </w:t>
      </w:r>
    </w:p>
    <w:p>
      <w:pPr>
        <w:widowControl/>
        <w:shd w:val="clear" w:color="auto" w:fill="FFFFFF"/>
        <w:wordWrap w:val="0"/>
        <w:spacing w:line="560" w:lineRule="exact"/>
        <w:ind w:firstLine="480"/>
        <w:jc w:val="right"/>
        <w:rPr>
          <w:rFonts w:hAnsi="仿宋_GB2312" w:eastAsia="仿宋_GB2312"/>
          <w:color w:val="000000"/>
          <w:kern w:val="0"/>
          <w:sz w:val="32"/>
          <w:szCs w:val="32"/>
        </w:rPr>
      </w:pPr>
      <w:r>
        <w:rPr>
          <w:rFonts w:eastAsia="仿宋_GB2312"/>
          <w:color w:val="000000"/>
          <w:kern w:val="0"/>
          <w:sz w:val="32"/>
          <w:szCs w:val="32"/>
        </w:rPr>
        <w:t xml:space="preserve">               2022</w:t>
      </w:r>
      <w:r>
        <w:rPr>
          <w:rFonts w:hAnsi="仿宋_GB2312" w:eastAsia="仿宋_GB2312"/>
          <w:color w:val="000000"/>
          <w:kern w:val="0"/>
          <w:sz w:val="32"/>
          <w:szCs w:val="32"/>
        </w:rPr>
        <w:t>年</w:t>
      </w:r>
      <w:r>
        <w:rPr>
          <w:rFonts w:eastAsia="仿宋_GB2312"/>
          <w:color w:val="000000"/>
          <w:kern w:val="0"/>
          <w:sz w:val="32"/>
          <w:szCs w:val="32"/>
        </w:rPr>
        <w:t>6</w:t>
      </w:r>
      <w:r>
        <w:rPr>
          <w:rFonts w:hAnsi="仿宋_GB2312" w:eastAsia="仿宋_GB2312"/>
          <w:color w:val="000000"/>
          <w:kern w:val="0"/>
          <w:sz w:val="32"/>
          <w:szCs w:val="32"/>
        </w:rPr>
        <w:t>月</w:t>
      </w:r>
      <w:r>
        <w:rPr>
          <w:rFonts w:eastAsia="仿宋_GB2312"/>
          <w:color w:val="000000"/>
          <w:kern w:val="0"/>
          <w:sz w:val="32"/>
          <w:szCs w:val="32"/>
        </w:rPr>
        <w:t>8</w:t>
      </w:r>
      <w:r>
        <w:rPr>
          <w:rFonts w:hAnsi="仿宋_GB2312" w:eastAsia="仿宋_GB2312"/>
          <w:color w:val="000000"/>
          <w:kern w:val="0"/>
          <w:sz w:val="32"/>
          <w:szCs w:val="32"/>
        </w:rPr>
        <w:t>日</w:t>
      </w:r>
      <w:r>
        <w:rPr>
          <w:rFonts w:hint="eastAsia" w:hAnsi="仿宋_GB2312" w:eastAsia="仿宋_GB2312"/>
          <w:color w:val="000000"/>
          <w:kern w:val="0"/>
          <w:sz w:val="32"/>
          <w:szCs w:val="32"/>
        </w:rPr>
        <w:t xml:space="preserve">        </w:t>
      </w:r>
    </w:p>
    <w:p>
      <w:pPr>
        <w:widowControl/>
        <w:shd w:val="clear" w:color="auto" w:fill="FFFFFF"/>
        <w:spacing w:line="560" w:lineRule="exact"/>
        <w:ind w:firstLine="646"/>
        <w:jc w:val="left"/>
        <w:rPr>
          <w:rFonts w:eastAsia="仿宋_GB2312"/>
          <w:sz w:val="32"/>
          <w:szCs w:val="32"/>
        </w:rPr>
      </w:pPr>
      <w:r>
        <w:rPr>
          <w:rFonts w:hint="eastAsia" w:eastAsia="仿宋_GB2312"/>
          <w:sz w:val="32"/>
          <w:szCs w:val="32"/>
        </w:rPr>
        <w:t>（此件公开发布）</w:t>
      </w:r>
    </w:p>
    <w:p>
      <w:pPr>
        <w:spacing w:line="560" w:lineRule="exact"/>
        <w:jc w:val="center"/>
        <w:rPr>
          <w:rFonts w:ascii="方正大标宋简体" w:hAnsi="方正小标宋简体" w:eastAsia="方正大标宋简体"/>
          <w:sz w:val="44"/>
          <w:szCs w:val="44"/>
        </w:rPr>
      </w:pPr>
    </w:p>
    <w:p>
      <w:pPr>
        <w:spacing w:line="560" w:lineRule="exact"/>
        <w:jc w:val="center"/>
        <w:rPr>
          <w:rFonts w:ascii="方正大标宋简体" w:hAnsi="方正小标宋简体" w:eastAsia="方正大标宋简体"/>
          <w:sz w:val="44"/>
          <w:szCs w:val="44"/>
        </w:rPr>
      </w:pPr>
      <w:r>
        <w:rPr>
          <w:rFonts w:hint="eastAsia" w:ascii="方正大标宋简体" w:hAnsi="方正小标宋简体" w:eastAsia="方正大标宋简体"/>
          <w:sz w:val="44"/>
          <w:szCs w:val="44"/>
        </w:rPr>
        <w:t>加大纾困帮扶力度支持中小企业</w:t>
      </w:r>
    </w:p>
    <w:p>
      <w:pPr>
        <w:spacing w:line="560" w:lineRule="exact"/>
        <w:jc w:val="center"/>
        <w:rPr>
          <w:rFonts w:ascii="方正大标宋简体" w:eastAsia="方正大标宋简体"/>
          <w:sz w:val="44"/>
          <w:szCs w:val="44"/>
        </w:rPr>
      </w:pPr>
      <w:r>
        <w:rPr>
          <w:rFonts w:hint="eastAsia" w:ascii="方正大标宋简体" w:hAnsi="方正小标宋简体" w:eastAsia="方正大标宋简体"/>
          <w:sz w:val="44"/>
          <w:szCs w:val="44"/>
        </w:rPr>
        <w:t>平稳健康发展若干措施</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Ansi="仿宋_GB2312" w:eastAsia="仿宋_GB2312"/>
          <w:sz w:val="32"/>
          <w:szCs w:val="32"/>
        </w:rPr>
        <w:t>为深入贯彻落实国务院办公厅《关于进一步加大中小企业纾困帮扶力度的通知》（国办发〔</w:t>
      </w:r>
      <w:r>
        <w:rPr>
          <w:rFonts w:eastAsia="仿宋_GB2312"/>
          <w:sz w:val="32"/>
          <w:szCs w:val="32"/>
        </w:rPr>
        <w:t>2021</w:t>
      </w:r>
      <w:r>
        <w:rPr>
          <w:rFonts w:hAnsi="仿宋_GB2312" w:eastAsia="仿宋_GB2312"/>
          <w:sz w:val="32"/>
          <w:szCs w:val="32"/>
        </w:rPr>
        <w:t>〕</w:t>
      </w:r>
      <w:r>
        <w:rPr>
          <w:rFonts w:eastAsia="仿宋_GB2312"/>
          <w:sz w:val="32"/>
          <w:szCs w:val="32"/>
        </w:rPr>
        <w:t>45</w:t>
      </w:r>
      <w:r>
        <w:rPr>
          <w:rFonts w:hAnsi="仿宋_GB2312" w:eastAsia="仿宋_GB2312"/>
          <w:sz w:val="32"/>
          <w:szCs w:val="32"/>
        </w:rPr>
        <w:t>号）和山西省政府办公厅《加大纾困帮扶力度支持中小企业平稳健康发展若干措施》（晋政办发〔</w:t>
      </w:r>
      <w:r>
        <w:rPr>
          <w:rFonts w:eastAsia="仿宋_GB2312"/>
          <w:sz w:val="32"/>
          <w:szCs w:val="32"/>
        </w:rPr>
        <w:t>2022</w:t>
      </w:r>
      <w:r>
        <w:rPr>
          <w:rFonts w:hAnsi="仿宋_GB2312" w:eastAsia="仿宋_GB2312"/>
          <w:sz w:val="32"/>
          <w:szCs w:val="32"/>
        </w:rPr>
        <w:t>〕</w:t>
      </w:r>
      <w:r>
        <w:rPr>
          <w:rFonts w:eastAsia="仿宋_GB2312"/>
          <w:sz w:val="32"/>
          <w:szCs w:val="32"/>
        </w:rPr>
        <w:t>30</w:t>
      </w:r>
      <w:r>
        <w:rPr>
          <w:rFonts w:hAnsi="仿宋_GB2312" w:eastAsia="仿宋_GB2312"/>
          <w:sz w:val="32"/>
          <w:szCs w:val="32"/>
        </w:rPr>
        <w:t>号），帮助中小企业提振信心，平稳发展，推动</w:t>
      </w:r>
      <w:r>
        <w:rPr>
          <w:rFonts w:eastAsia="仿宋_GB2312"/>
          <w:sz w:val="32"/>
          <w:szCs w:val="32"/>
        </w:rPr>
        <w:t>“</w:t>
      </w:r>
      <w:r>
        <w:rPr>
          <w:rFonts w:hAnsi="仿宋_GB2312" w:eastAsia="仿宋_GB2312"/>
          <w:sz w:val="32"/>
          <w:szCs w:val="32"/>
        </w:rPr>
        <w:t>十四五</w:t>
      </w:r>
      <w:r>
        <w:rPr>
          <w:rFonts w:eastAsia="仿宋_GB2312"/>
          <w:sz w:val="32"/>
          <w:szCs w:val="32"/>
        </w:rPr>
        <w:t>”</w:t>
      </w:r>
      <w:r>
        <w:rPr>
          <w:rFonts w:hAnsi="仿宋_GB2312" w:eastAsia="仿宋_GB2312"/>
          <w:sz w:val="32"/>
          <w:szCs w:val="32"/>
        </w:rPr>
        <w:t>末市场主体倍增目标圆满完成，特制定以下措施。</w:t>
      </w:r>
    </w:p>
    <w:p>
      <w:pPr>
        <w:pStyle w:val="6"/>
        <w:numPr>
          <w:ilvl w:val="0"/>
          <w:numId w:val="1"/>
        </w:numPr>
        <w:spacing w:before="0" w:after="0" w:line="560" w:lineRule="exact"/>
        <w:ind w:firstLine="640" w:firstLineChars="200"/>
        <w:rPr>
          <w:rFonts w:eastAsia="黑体"/>
          <w:b w:val="0"/>
          <w:bCs w:val="0"/>
          <w:sz w:val="32"/>
          <w:szCs w:val="32"/>
        </w:rPr>
      </w:pPr>
      <w:r>
        <w:rPr>
          <w:rFonts w:hAnsi="黑体" w:eastAsia="黑体"/>
          <w:b w:val="0"/>
          <w:bCs w:val="0"/>
          <w:sz w:val="32"/>
          <w:szCs w:val="32"/>
        </w:rPr>
        <w:t>加大纾困资金支持</w:t>
      </w:r>
    </w:p>
    <w:p>
      <w:pPr>
        <w:pStyle w:val="6"/>
        <w:spacing w:before="0" w:after="0" w:line="560" w:lineRule="exact"/>
        <w:ind w:firstLine="640" w:firstLineChars="200"/>
        <w:rPr>
          <w:rFonts w:eastAsia="仿宋_GB2312"/>
          <w:sz w:val="32"/>
          <w:szCs w:val="32"/>
        </w:rPr>
      </w:pPr>
      <w:r>
        <w:rPr>
          <w:rFonts w:eastAsia="楷体_GB2312"/>
          <w:b w:val="0"/>
          <w:bCs w:val="0"/>
          <w:sz w:val="32"/>
          <w:szCs w:val="32"/>
        </w:rPr>
        <w:t>1.</w:t>
      </w:r>
      <w:r>
        <w:rPr>
          <w:rFonts w:hAnsi="楷体_GB2312" w:eastAsia="楷体_GB2312"/>
          <w:b w:val="0"/>
          <w:bCs w:val="0"/>
          <w:sz w:val="32"/>
          <w:szCs w:val="32"/>
        </w:rPr>
        <w:t>发挥中小企业纾困资金作用。</w:t>
      </w:r>
      <w:r>
        <w:rPr>
          <w:rFonts w:hAnsi="仿宋_GB2312" w:eastAsia="仿宋_GB2312"/>
          <w:b w:val="0"/>
          <w:bCs w:val="0"/>
          <w:sz w:val="32"/>
          <w:szCs w:val="32"/>
        </w:rPr>
        <w:t>鼓励各县（市、区）统筹安排中小企业纾困资金，对生产经营暂时面临困难的</w:t>
      </w:r>
      <w:r>
        <w:rPr>
          <w:rFonts w:eastAsia="仿宋_GB2312"/>
          <w:b w:val="0"/>
          <w:bCs w:val="0"/>
          <w:sz w:val="32"/>
          <w:szCs w:val="32"/>
        </w:rPr>
        <w:t>“</w:t>
      </w:r>
      <w:r>
        <w:rPr>
          <w:rFonts w:hAnsi="仿宋_GB2312" w:eastAsia="仿宋_GB2312"/>
          <w:b w:val="0"/>
          <w:bCs w:val="0"/>
          <w:sz w:val="32"/>
          <w:szCs w:val="32"/>
        </w:rPr>
        <w:t>专精特精</w:t>
      </w:r>
      <w:r>
        <w:rPr>
          <w:rFonts w:eastAsia="仿宋_GB2312"/>
          <w:b w:val="0"/>
          <w:bCs w:val="0"/>
          <w:sz w:val="32"/>
          <w:szCs w:val="32"/>
        </w:rPr>
        <w:t>”“</w:t>
      </w:r>
      <w:r>
        <w:rPr>
          <w:rFonts w:hAnsi="仿宋_GB2312" w:eastAsia="仿宋_GB2312"/>
          <w:b w:val="0"/>
          <w:bCs w:val="0"/>
          <w:sz w:val="32"/>
          <w:szCs w:val="32"/>
        </w:rPr>
        <w:t>小巨人</w:t>
      </w:r>
      <w:r>
        <w:rPr>
          <w:rFonts w:eastAsia="仿宋_GB2312"/>
          <w:b w:val="0"/>
          <w:bCs w:val="0"/>
          <w:sz w:val="32"/>
          <w:szCs w:val="32"/>
        </w:rPr>
        <w:t>”</w:t>
      </w:r>
      <w:r>
        <w:rPr>
          <w:rFonts w:hAnsi="仿宋_GB2312" w:eastAsia="仿宋_GB2312"/>
          <w:b w:val="0"/>
          <w:bCs w:val="0"/>
          <w:sz w:val="32"/>
          <w:szCs w:val="32"/>
        </w:rPr>
        <w:t>等高成长中小企业，符合战略性新兴产业领域、在</w:t>
      </w:r>
      <w:r>
        <w:rPr>
          <w:rFonts w:eastAsia="仿宋_GB2312"/>
          <w:b w:val="0"/>
          <w:bCs w:val="0"/>
          <w:sz w:val="32"/>
          <w:szCs w:val="32"/>
        </w:rPr>
        <w:t>“</w:t>
      </w:r>
      <w:r>
        <w:rPr>
          <w:rFonts w:hAnsi="仿宋_GB2312" w:eastAsia="仿宋_GB2312"/>
          <w:b w:val="0"/>
          <w:bCs w:val="0"/>
          <w:sz w:val="32"/>
          <w:szCs w:val="32"/>
        </w:rPr>
        <w:t>双循环</w:t>
      </w:r>
      <w:r>
        <w:rPr>
          <w:rFonts w:eastAsia="仿宋_GB2312"/>
          <w:b w:val="0"/>
          <w:bCs w:val="0"/>
          <w:sz w:val="32"/>
          <w:szCs w:val="32"/>
        </w:rPr>
        <w:t>”</w:t>
      </w:r>
      <w:r>
        <w:rPr>
          <w:rFonts w:hAnsi="仿宋_GB2312" w:eastAsia="仿宋_GB2312"/>
          <w:b w:val="0"/>
          <w:bCs w:val="0"/>
          <w:sz w:val="32"/>
          <w:szCs w:val="32"/>
        </w:rPr>
        <w:t>中具有发展潜力和竞争力、绿色低碳节能改造的中小工业企业，以及民生领域服务型中小企业给予专项资金支持。（责任单位：市财政局、市工信局、各县</w:t>
      </w:r>
      <w:r>
        <w:rPr>
          <w:rFonts w:hint="eastAsia" w:eastAsia="仿宋_GB2312"/>
          <w:b w:val="0"/>
          <w:bCs w:val="0"/>
          <w:sz w:val="32"/>
          <w:szCs w:val="32"/>
        </w:rPr>
        <w:t>〈</w:t>
      </w:r>
      <w:r>
        <w:rPr>
          <w:rFonts w:hAnsi="仿宋_GB2312" w:eastAsia="仿宋_GB2312"/>
          <w:b w:val="0"/>
          <w:bCs w:val="0"/>
          <w:sz w:val="32"/>
          <w:szCs w:val="32"/>
        </w:rPr>
        <w:t>市、区</w:t>
      </w:r>
      <w:r>
        <w:rPr>
          <w:rFonts w:hint="eastAsia" w:eastAsia="仿宋_GB2312"/>
          <w:b w:val="0"/>
          <w:bCs w:val="0"/>
          <w:sz w:val="32"/>
          <w:szCs w:val="32"/>
        </w:rPr>
        <w:t>〉</w:t>
      </w:r>
      <w:r>
        <w:rPr>
          <w:rFonts w:hAnsi="仿宋_GB2312" w:eastAsia="仿宋_GB2312"/>
          <w:b w:val="0"/>
          <w:bCs w:val="0"/>
          <w:sz w:val="32"/>
          <w:szCs w:val="32"/>
        </w:rPr>
        <w:t>人民政府，以下措施均需各县</w:t>
      </w:r>
      <w:r>
        <w:rPr>
          <w:rFonts w:hint="eastAsia" w:eastAsia="仿宋_GB2312"/>
          <w:b w:val="0"/>
          <w:bCs w:val="0"/>
          <w:sz w:val="32"/>
          <w:szCs w:val="32"/>
        </w:rPr>
        <w:t>〈</w:t>
      </w:r>
      <w:r>
        <w:rPr>
          <w:rFonts w:hAnsi="仿宋_GB2312" w:eastAsia="仿宋_GB2312"/>
          <w:b w:val="0"/>
          <w:bCs w:val="0"/>
          <w:sz w:val="32"/>
          <w:szCs w:val="32"/>
        </w:rPr>
        <w:t>市、区</w:t>
      </w:r>
      <w:r>
        <w:rPr>
          <w:rFonts w:hint="eastAsia" w:eastAsia="仿宋_GB2312"/>
          <w:b w:val="0"/>
          <w:bCs w:val="0"/>
          <w:sz w:val="32"/>
          <w:szCs w:val="32"/>
        </w:rPr>
        <w:t>〉</w:t>
      </w:r>
      <w:r>
        <w:rPr>
          <w:rFonts w:hAnsi="仿宋_GB2312" w:eastAsia="仿宋_GB2312"/>
          <w:b w:val="0"/>
          <w:bCs w:val="0"/>
          <w:sz w:val="32"/>
          <w:szCs w:val="32"/>
        </w:rPr>
        <w:t>人民政府落实，不再列出）</w:t>
      </w:r>
    </w:p>
    <w:p>
      <w:pPr>
        <w:spacing w:line="560" w:lineRule="exact"/>
        <w:ind w:firstLine="640" w:firstLineChars="200"/>
        <w:rPr>
          <w:rFonts w:eastAsia="仿宋_GB2312"/>
          <w:sz w:val="32"/>
          <w:szCs w:val="32"/>
        </w:rPr>
      </w:pPr>
      <w:r>
        <w:rPr>
          <w:rFonts w:eastAsia="楷体_GB2312"/>
          <w:sz w:val="32"/>
          <w:szCs w:val="32"/>
        </w:rPr>
        <w:t>2.</w:t>
      </w:r>
      <w:r>
        <w:rPr>
          <w:rFonts w:hAnsi="楷体_GB2312" w:eastAsia="楷体_GB2312"/>
          <w:sz w:val="32"/>
          <w:szCs w:val="32"/>
        </w:rPr>
        <w:t>用好创业担保贷款政策。</w:t>
      </w:r>
      <w:r>
        <w:rPr>
          <w:rFonts w:hAnsi="仿宋_GB2312" w:eastAsia="仿宋_GB2312"/>
          <w:sz w:val="32"/>
          <w:szCs w:val="32"/>
        </w:rPr>
        <w:t>在中央财政贴息的基础上加大贴息力度，对于符合条件的小微企业创业担保贷款，按照贷款合同约定的贷款市场报价利率给予全额贴息。加大对符合条件的群体创业信贷支持力度，指导各经办银行对经认定的创业担保贷款申请人应批尽批，稳步扩大担保基金放大倍数。（责任单位：市财政局、市人社局、市金融办、人行忻州市中心支行）</w:t>
      </w:r>
    </w:p>
    <w:p>
      <w:pPr>
        <w:spacing w:line="560" w:lineRule="exact"/>
        <w:ind w:firstLine="640" w:firstLineChars="200"/>
        <w:rPr>
          <w:rFonts w:eastAsia="仿宋_GB2312"/>
          <w:sz w:val="32"/>
          <w:szCs w:val="32"/>
        </w:rPr>
      </w:pPr>
      <w:r>
        <w:rPr>
          <w:rFonts w:eastAsia="楷体_GB2312"/>
          <w:sz w:val="32"/>
          <w:szCs w:val="32"/>
        </w:rPr>
        <w:t>3.</w:t>
      </w:r>
      <w:r>
        <w:rPr>
          <w:rFonts w:hAnsi="楷体_GB2312" w:eastAsia="楷体_GB2312"/>
          <w:sz w:val="32"/>
          <w:szCs w:val="32"/>
        </w:rPr>
        <w:t>发挥融资担保降费奖补资金作用。</w:t>
      </w:r>
      <w:r>
        <w:rPr>
          <w:rFonts w:hAnsi="仿宋_GB2312" w:eastAsia="仿宋_GB2312"/>
          <w:sz w:val="32"/>
          <w:szCs w:val="32"/>
        </w:rPr>
        <w:t>政府性担保机构进一步降低担保费率，将中小微企业、</w:t>
      </w:r>
      <w:r>
        <w:rPr>
          <w:rFonts w:eastAsia="仿宋_GB2312"/>
          <w:sz w:val="32"/>
          <w:szCs w:val="32"/>
        </w:rPr>
        <w:t>“</w:t>
      </w:r>
      <w:r>
        <w:rPr>
          <w:rFonts w:hAnsi="仿宋_GB2312" w:eastAsia="仿宋_GB2312"/>
          <w:sz w:val="32"/>
          <w:szCs w:val="32"/>
        </w:rPr>
        <w:t>三农</w:t>
      </w:r>
      <w:r>
        <w:rPr>
          <w:rFonts w:eastAsia="仿宋_GB2312"/>
          <w:sz w:val="32"/>
          <w:szCs w:val="32"/>
        </w:rPr>
        <w:t>”</w:t>
      </w:r>
      <w:r>
        <w:rPr>
          <w:rFonts w:hAnsi="仿宋_GB2312" w:eastAsia="仿宋_GB2312"/>
          <w:sz w:val="32"/>
          <w:szCs w:val="32"/>
        </w:rPr>
        <w:t>和战略性新兴产业等市场主体的平均担保费率降至</w:t>
      </w:r>
      <w:r>
        <w:rPr>
          <w:rFonts w:eastAsia="仿宋_GB2312"/>
          <w:sz w:val="32"/>
          <w:szCs w:val="32"/>
        </w:rPr>
        <w:t>1%</w:t>
      </w:r>
      <w:r>
        <w:rPr>
          <w:rFonts w:hAnsi="仿宋_GB2312" w:eastAsia="仿宋_GB2312"/>
          <w:sz w:val="32"/>
          <w:szCs w:val="32"/>
        </w:rPr>
        <w:t>以下，按照</w:t>
      </w:r>
      <w:r>
        <w:rPr>
          <w:rFonts w:eastAsia="仿宋_GB2312"/>
          <w:sz w:val="32"/>
          <w:szCs w:val="32"/>
        </w:rPr>
        <w:t>“</w:t>
      </w:r>
      <w:r>
        <w:rPr>
          <w:rFonts w:hAnsi="仿宋_GB2312" w:eastAsia="仿宋_GB2312"/>
          <w:sz w:val="32"/>
          <w:szCs w:val="32"/>
        </w:rPr>
        <w:t>谁受益、谁补偿、谁补贴</w:t>
      </w:r>
      <w:r>
        <w:rPr>
          <w:rFonts w:eastAsia="仿宋_GB2312"/>
          <w:sz w:val="32"/>
          <w:szCs w:val="32"/>
        </w:rPr>
        <w:t>”</w:t>
      </w:r>
      <w:r>
        <w:rPr>
          <w:rFonts w:hAnsi="仿宋_GB2312" w:eastAsia="仿宋_GB2312"/>
          <w:sz w:val="32"/>
          <w:szCs w:val="32"/>
        </w:rPr>
        <w:t>的原则，市、县财政予以保费补贴。（市财政局、市金融办、忻州银保监分局）</w:t>
      </w:r>
    </w:p>
    <w:p>
      <w:pPr>
        <w:pStyle w:val="6"/>
        <w:numPr>
          <w:ilvl w:val="0"/>
          <w:numId w:val="1"/>
        </w:numPr>
        <w:spacing w:before="0" w:after="0" w:line="560" w:lineRule="exact"/>
        <w:ind w:firstLine="640" w:firstLineChars="200"/>
        <w:rPr>
          <w:rFonts w:eastAsia="黑体"/>
          <w:b w:val="0"/>
          <w:bCs w:val="0"/>
          <w:sz w:val="32"/>
          <w:szCs w:val="32"/>
        </w:rPr>
      </w:pPr>
      <w:r>
        <w:rPr>
          <w:rFonts w:hAnsi="黑体" w:eastAsia="黑体"/>
          <w:b w:val="0"/>
          <w:bCs w:val="0"/>
          <w:sz w:val="32"/>
          <w:szCs w:val="32"/>
        </w:rPr>
        <w:t>推进减税降费落地</w:t>
      </w:r>
    </w:p>
    <w:p>
      <w:pPr>
        <w:pStyle w:val="7"/>
        <w:spacing w:before="0" w:beforeAutospacing="0" w:after="0" w:afterAutospacing="0" w:line="560" w:lineRule="exact"/>
        <w:ind w:left="0" w:leftChars="0" w:firstLine="640" w:firstLineChars="200"/>
        <w:rPr>
          <w:rFonts w:ascii="Times New Roman" w:hAnsi="Times New Roman" w:eastAsia="仿宋_GB2312" w:cs="Times New Roman"/>
        </w:rPr>
      </w:pPr>
      <w:r>
        <w:rPr>
          <w:rFonts w:ascii="Times New Roman" w:hAnsi="Times New Roman" w:eastAsia="楷体_GB2312" w:cs="Times New Roman"/>
        </w:rPr>
        <w:t>4.</w:t>
      </w:r>
      <w:r>
        <w:rPr>
          <w:rFonts w:ascii="Times New Roman" w:hAnsi="楷体_GB2312" w:eastAsia="楷体_GB2312" w:cs="Times New Roman"/>
        </w:rPr>
        <w:t>全力落实组合式税费支持政策。</w:t>
      </w:r>
      <w:r>
        <w:rPr>
          <w:rFonts w:ascii="Times New Roman" w:hAnsi="仿宋_GB2312" w:eastAsia="仿宋_GB2312" w:cs="Times New Roman"/>
          <w:color w:val="000000"/>
          <w:kern w:val="0"/>
        </w:rPr>
        <w:t>全面落实制造业中小微企业缓税、增值税小规模纳税人阶段性免征增值税、小微企业减征所得税、增值税留抵退税等促进中小企业发展的税费优惠政策。进一步扩大</w:t>
      </w:r>
      <w:r>
        <w:rPr>
          <w:rFonts w:ascii="Times New Roman" w:hAnsi="Times New Roman" w:eastAsia="仿宋_GB2312" w:cs="Times New Roman"/>
          <w:color w:val="000000"/>
          <w:kern w:val="0"/>
        </w:rPr>
        <w:t>“</w:t>
      </w:r>
      <w:r>
        <w:rPr>
          <w:rFonts w:ascii="Times New Roman" w:hAnsi="仿宋_GB2312" w:eastAsia="仿宋_GB2312" w:cs="Times New Roman"/>
          <w:color w:val="000000"/>
          <w:kern w:val="0"/>
        </w:rPr>
        <w:t>六税两费</w:t>
      </w:r>
      <w:r>
        <w:rPr>
          <w:rFonts w:ascii="Times New Roman" w:hAnsi="Times New Roman" w:eastAsia="仿宋_GB2312" w:cs="Times New Roman"/>
          <w:color w:val="000000"/>
          <w:kern w:val="0"/>
        </w:rPr>
        <w:t>”</w:t>
      </w:r>
      <w:r>
        <w:rPr>
          <w:rFonts w:ascii="Times New Roman" w:hAnsi="仿宋_GB2312" w:eastAsia="仿宋_GB2312" w:cs="Times New Roman"/>
          <w:color w:val="000000"/>
          <w:kern w:val="0"/>
        </w:rPr>
        <w:t>的适用主体，对符合条件的服务业市场主体，在</w:t>
      </w:r>
      <w:r>
        <w:rPr>
          <w:rFonts w:ascii="Times New Roman" w:hAnsi="Times New Roman" w:eastAsia="仿宋_GB2312" w:cs="Times New Roman"/>
          <w:color w:val="000000"/>
          <w:kern w:val="0"/>
        </w:rPr>
        <w:t>50%</w:t>
      </w:r>
      <w:r>
        <w:rPr>
          <w:rFonts w:ascii="Times New Roman" w:hAnsi="仿宋_GB2312" w:eastAsia="仿宋_GB2312" w:cs="Times New Roman"/>
          <w:color w:val="000000"/>
          <w:kern w:val="0"/>
        </w:rPr>
        <w:t>税额幅度内减征资源税、城市维护建设税、房产税、城镇土地使用税、印花税</w:t>
      </w:r>
      <w:r>
        <w:rPr>
          <w:rFonts w:hint="eastAsia" w:ascii="Times New Roman" w:hAnsi="Times New Roman" w:eastAsia="仿宋_GB2312" w:cs="Times New Roman"/>
          <w:color w:val="000000"/>
          <w:kern w:val="0"/>
        </w:rPr>
        <w:t>（</w:t>
      </w:r>
      <w:r>
        <w:rPr>
          <w:rFonts w:ascii="Times New Roman" w:hAnsi="仿宋_GB2312" w:eastAsia="仿宋_GB2312" w:cs="Times New Roman"/>
          <w:color w:val="000000"/>
          <w:kern w:val="0"/>
        </w:rPr>
        <w:t>不含证券交易印花税</w:t>
      </w:r>
      <w:r>
        <w:rPr>
          <w:rFonts w:hint="eastAsia" w:ascii="Times New Roman" w:hAnsi="Times New Roman" w:eastAsia="仿宋_GB2312" w:cs="Times New Roman"/>
          <w:color w:val="000000"/>
          <w:kern w:val="0"/>
        </w:rPr>
        <w:t>）</w:t>
      </w:r>
      <w:r>
        <w:rPr>
          <w:rFonts w:ascii="Times New Roman" w:hAnsi="仿宋_GB2312" w:eastAsia="仿宋_GB2312" w:cs="Times New Roman"/>
          <w:color w:val="000000"/>
          <w:kern w:val="0"/>
        </w:rPr>
        <w:t>、耕地占用税和教育费附加、地方教育附加等</w:t>
      </w:r>
      <w:r>
        <w:rPr>
          <w:rFonts w:ascii="Times New Roman" w:hAnsi="Times New Roman" w:eastAsia="仿宋_GB2312" w:cs="Times New Roman"/>
          <w:color w:val="000000"/>
          <w:kern w:val="0"/>
        </w:rPr>
        <w:t>“</w:t>
      </w:r>
      <w:r>
        <w:rPr>
          <w:rFonts w:ascii="Times New Roman" w:hAnsi="仿宋_GB2312" w:eastAsia="仿宋_GB2312" w:cs="Times New Roman"/>
          <w:color w:val="000000"/>
          <w:kern w:val="0"/>
        </w:rPr>
        <w:t>六税两费</w:t>
      </w:r>
      <w:r>
        <w:rPr>
          <w:rFonts w:ascii="Times New Roman" w:hAnsi="Times New Roman" w:eastAsia="仿宋_GB2312" w:cs="Times New Roman"/>
          <w:color w:val="000000"/>
          <w:kern w:val="0"/>
        </w:rPr>
        <w:t>”</w:t>
      </w:r>
      <w:r>
        <w:rPr>
          <w:rFonts w:ascii="Times New Roman" w:hAnsi="仿宋_GB2312" w:eastAsia="仿宋_GB2312" w:cs="Times New Roman"/>
          <w:color w:val="000000"/>
          <w:kern w:val="0"/>
        </w:rPr>
        <w:t>，适用主体由增值税小规模纳税人扩展至小型微利企业和个体工商户。</w:t>
      </w:r>
      <w:r>
        <w:rPr>
          <w:rFonts w:ascii="Times New Roman" w:hAnsi="仿宋_GB2312" w:eastAsia="仿宋_GB2312" w:cs="Times New Roman"/>
        </w:rPr>
        <w:t>有效落实退税政策，加强库款管理，统筹上级财政安排的专项资金和自有财力，合理规划使用资金，切实保障留抵退税的资金需要，确保将退税资金及时足额退付到企业。</w:t>
      </w:r>
      <w:r>
        <w:rPr>
          <w:rFonts w:ascii="Times New Roman" w:hAnsi="仿宋_GB2312" w:eastAsia="仿宋_GB2312" w:cs="Times New Roman"/>
          <w:color w:val="000000"/>
          <w:kern w:val="0"/>
        </w:rPr>
        <w:t>（责任单位：市税务局、市财政局）</w:t>
      </w:r>
    </w:p>
    <w:p>
      <w:pPr>
        <w:spacing w:line="560" w:lineRule="exact"/>
        <w:ind w:firstLine="640" w:firstLineChars="200"/>
        <w:rPr>
          <w:rFonts w:eastAsia="仿宋_GB2312"/>
          <w:sz w:val="32"/>
          <w:szCs w:val="32"/>
        </w:rPr>
      </w:pPr>
      <w:r>
        <w:rPr>
          <w:rFonts w:eastAsia="楷体_GB2312"/>
          <w:sz w:val="32"/>
          <w:szCs w:val="32"/>
        </w:rPr>
        <w:t>5.</w:t>
      </w:r>
      <w:r>
        <w:rPr>
          <w:rFonts w:hAnsi="楷体_GB2312" w:eastAsia="楷体_GB2312"/>
          <w:sz w:val="32"/>
          <w:szCs w:val="32"/>
        </w:rPr>
        <w:t>持续清理规范涉企收费。</w:t>
      </w:r>
      <w:r>
        <w:rPr>
          <w:rFonts w:hAnsi="仿宋_GB2312" w:eastAsia="仿宋_GB2312"/>
          <w:sz w:val="32"/>
          <w:szCs w:val="32"/>
        </w:rPr>
        <w:t>发挥涉企非税收入负面清单作用，加大涉企违规收费检查力度。</w:t>
      </w:r>
      <w:r>
        <w:rPr>
          <w:rFonts w:hAnsi="仿宋_GB2312" w:eastAsia="仿宋_GB2312"/>
          <w:color w:val="000000"/>
          <w:sz w:val="32"/>
          <w:szCs w:val="32"/>
        </w:rPr>
        <w:t>依托国家企业信用信息公示系统（山西），及时归集企业基本信息、行政许可、行政处罚、经营异常和严重违法失信等信息。</w:t>
      </w:r>
      <w:r>
        <w:rPr>
          <w:rFonts w:hAnsi="仿宋_GB2312" w:eastAsia="仿宋_GB2312"/>
          <w:sz w:val="32"/>
          <w:szCs w:val="32"/>
        </w:rPr>
        <w:t>落实检验检测收费减免政策，对遭受洪涝等灾害重大损失的企业和个体工商户实行特种设备检验检测零收费。</w:t>
      </w:r>
      <w:r>
        <w:rPr>
          <w:rFonts w:hAnsi="仿宋_GB2312" w:eastAsia="仿宋_GB2312"/>
          <w:color w:val="000000"/>
          <w:kern w:val="0"/>
          <w:sz w:val="32"/>
          <w:szCs w:val="32"/>
        </w:rPr>
        <w:t>（责任单位：市财政局、市市场监督局）</w:t>
      </w:r>
    </w:p>
    <w:p>
      <w:pPr>
        <w:pStyle w:val="6"/>
        <w:numPr>
          <w:ilvl w:val="0"/>
          <w:numId w:val="1"/>
        </w:numPr>
        <w:spacing w:before="0" w:after="0" w:line="560" w:lineRule="exact"/>
        <w:ind w:firstLine="640" w:firstLineChars="200"/>
        <w:rPr>
          <w:rFonts w:eastAsia="黑体"/>
          <w:b w:val="0"/>
          <w:bCs w:val="0"/>
          <w:sz w:val="32"/>
          <w:szCs w:val="32"/>
        </w:rPr>
      </w:pPr>
      <w:r>
        <w:rPr>
          <w:rFonts w:hAnsi="黑体" w:eastAsia="黑体"/>
          <w:b w:val="0"/>
          <w:bCs w:val="0"/>
          <w:sz w:val="32"/>
          <w:szCs w:val="32"/>
        </w:rPr>
        <w:t>用足用好金融政策</w:t>
      </w:r>
    </w:p>
    <w:p>
      <w:pPr>
        <w:spacing w:line="560" w:lineRule="exact"/>
        <w:ind w:firstLine="640" w:firstLineChars="200"/>
        <w:rPr>
          <w:rFonts w:eastAsia="仿宋_GB2312"/>
          <w:sz w:val="32"/>
          <w:szCs w:val="32"/>
        </w:rPr>
      </w:pPr>
      <w:r>
        <w:rPr>
          <w:rFonts w:eastAsia="楷体_GB2312"/>
          <w:sz w:val="32"/>
          <w:szCs w:val="32"/>
        </w:rPr>
        <w:t>6.</w:t>
      </w:r>
      <w:r>
        <w:rPr>
          <w:rFonts w:hAnsi="楷体_GB2312" w:eastAsia="楷体_GB2312"/>
          <w:sz w:val="32"/>
          <w:szCs w:val="32"/>
        </w:rPr>
        <w:t>继续用好支小再贷款、再贴现等货币政策工具。</w:t>
      </w:r>
      <w:r>
        <w:rPr>
          <w:rFonts w:hAnsi="仿宋_GB2312" w:eastAsia="仿宋_GB2312"/>
          <w:sz w:val="32"/>
          <w:szCs w:val="32"/>
        </w:rPr>
        <w:t>用足用好支农支小再贷款，在做好风险防控的基础上，增加对中小微企业的信用贷款投放。持续用好</w:t>
      </w:r>
      <w:r>
        <w:rPr>
          <w:rFonts w:eastAsia="仿宋_GB2312"/>
          <w:sz w:val="32"/>
          <w:szCs w:val="32"/>
        </w:rPr>
        <w:t>“2+1”</w:t>
      </w:r>
      <w:r>
        <w:rPr>
          <w:rFonts w:hAnsi="仿宋_GB2312" w:eastAsia="仿宋_GB2312"/>
          <w:sz w:val="32"/>
          <w:szCs w:val="32"/>
        </w:rPr>
        <w:t>融资、贷款风险补偿、第三方质押等再贷款配套机制，加强支农、支小再贷款额度、台账、抵押品的管理，提升支农、支小再贷款使用水平，确保年末再贷款使用率高于上年水平，力争达到</w:t>
      </w:r>
      <w:r>
        <w:rPr>
          <w:rFonts w:eastAsia="仿宋_GB2312"/>
          <w:sz w:val="32"/>
          <w:szCs w:val="32"/>
        </w:rPr>
        <w:t>90%</w:t>
      </w:r>
      <w:r>
        <w:rPr>
          <w:rFonts w:hAnsi="仿宋_GB2312" w:eastAsia="仿宋_GB2312"/>
          <w:sz w:val="32"/>
          <w:szCs w:val="32"/>
        </w:rPr>
        <w:t>以上。再贴现在充分满足地方法人金融机构的需求后，优先支持信贷增长快的全国性银行分支机构，坚持做到</w:t>
      </w:r>
      <w:r>
        <w:rPr>
          <w:rFonts w:eastAsia="仿宋_GB2312"/>
          <w:sz w:val="32"/>
          <w:szCs w:val="32"/>
        </w:rPr>
        <w:t>“</w:t>
      </w:r>
      <w:r>
        <w:rPr>
          <w:rFonts w:hAnsi="仿宋_GB2312" w:eastAsia="仿宋_GB2312"/>
          <w:sz w:val="32"/>
          <w:szCs w:val="32"/>
        </w:rPr>
        <w:t>先放先得、多放多得</w:t>
      </w:r>
      <w:r>
        <w:rPr>
          <w:rFonts w:eastAsia="仿宋_GB2312"/>
          <w:sz w:val="32"/>
          <w:szCs w:val="32"/>
        </w:rPr>
        <w:t>”</w:t>
      </w:r>
      <w:r>
        <w:rPr>
          <w:rFonts w:hAnsi="仿宋_GB2312" w:eastAsia="仿宋_GB2312"/>
          <w:sz w:val="32"/>
          <w:szCs w:val="32"/>
        </w:rPr>
        <w:t>。继续提高再贷款再贴现的机构覆盖面比例，再贷款机构覆盖面要继续保持</w:t>
      </w:r>
      <w:r>
        <w:rPr>
          <w:rFonts w:eastAsia="仿宋_GB2312"/>
          <w:sz w:val="32"/>
          <w:szCs w:val="32"/>
        </w:rPr>
        <w:t>100%</w:t>
      </w:r>
      <w:r>
        <w:rPr>
          <w:rFonts w:hAnsi="仿宋_GB2312" w:eastAsia="仿宋_GB2312"/>
          <w:sz w:val="32"/>
          <w:szCs w:val="32"/>
        </w:rPr>
        <w:t>覆盖，再贴现机构覆盖面，</w:t>
      </w:r>
      <w:r>
        <w:rPr>
          <w:rFonts w:eastAsia="仿宋_GB2312"/>
          <w:sz w:val="32"/>
          <w:szCs w:val="32"/>
        </w:rPr>
        <w:t>2022</w:t>
      </w:r>
      <w:r>
        <w:rPr>
          <w:rFonts w:hAnsi="仿宋_GB2312" w:eastAsia="仿宋_GB2312"/>
          <w:sz w:val="32"/>
          <w:szCs w:val="32"/>
        </w:rPr>
        <w:t>年要新增加</w:t>
      </w:r>
      <w:r>
        <w:rPr>
          <w:rFonts w:eastAsia="仿宋_GB2312"/>
          <w:sz w:val="32"/>
          <w:szCs w:val="32"/>
        </w:rPr>
        <w:t>1-2</w:t>
      </w:r>
      <w:r>
        <w:rPr>
          <w:rFonts w:hAnsi="仿宋_GB2312" w:eastAsia="仿宋_GB2312"/>
          <w:sz w:val="32"/>
          <w:szCs w:val="32"/>
        </w:rPr>
        <w:t>家办理再贴现的地方法人机构。（责任单位：人行忻州市中心支行）</w:t>
      </w:r>
    </w:p>
    <w:p>
      <w:pPr>
        <w:spacing w:line="560" w:lineRule="exact"/>
        <w:ind w:firstLine="640" w:firstLineChars="200"/>
        <w:rPr>
          <w:rFonts w:eastAsia="仿宋_GB2312"/>
          <w:sz w:val="32"/>
          <w:szCs w:val="32"/>
        </w:rPr>
      </w:pPr>
      <w:r>
        <w:rPr>
          <w:rFonts w:eastAsia="楷体_GB2312"/>
          <w:sz w:val="32"/>
          <w:szCs w:val="32"/>
        </w:rPr>
        <w:t>7.</w:t>
      </w:r>
      <w:r>
        <w:rPr>
          <w:rFonts w:hAnsi="楷体_GB2312" w:eastAsia="楷体_GB2312"/>
          <w:sz w:val="32"/>
          <w:szCs w:val="32"/>
        </w:rPr>
        <w:t>做好两项政策工具的接续转换。</w:t>
      </w:r>
      <w:r>
        <w:rPr>
          <w:rFonts w:eastAsia="仿宋_GB2312"/>
          <w:sz w:val="32"/>
          <w:szCs w:val="32"/>
        </w:rPr>
        <w:t>2022</w:t>
      </w:r>
      <w:r>
        <w:rPr>
          <w:rFonts w:hAnsi="仿宋_GB2312" w:eastAsia="仿宋_GB2312"/>
          <w:sz w:val="32"/>
          <w:szCs w:val="32"/>
        </w:rPr>
        <w:t>年起，普惠小微企业贷款延期还本付息支持工具转换为普惠小微贷款支持工具，普惠小微信用贷款支持计划纳入支农支小再贷款管理，运用好余额增量激励手段，推动普惠小微贷款余额持续增长。（责任单位：人行忻州市中心支行）</w:t>
      </w:r>
    </w:p>
    <w:p>
      <w:pPr>
        <w:spacing w:line="560" w:lineRule="exact"/>
        <w:ind w:firstLine="640" w:firstLineChars="200"/>
        <w:rPr>
          <w:rFonts w:eastAsia="仿宋_GB2312"/>
          <w:sz w:val="32"/>
          <w:szCs w:val="32"/>
        </w:rPr>
      </w:pPr>
      <w:r>
        <w:rPr>
          <w:rFonts w:eastAsia="楷体_GB2312"/>
          <w:sz w:val="32"/>
          <w:szCs w:val="32"/>
        </w:rPr>
        <w:t>8.</w:t>
      </w:r>
      <w:r>
        <w:rPr>
          <w:rFonts w:hAnsi="楷体_GB2312" w:eastAsia="楷体_GB2312"/>
          <w:sz w:val="32"/>
          <w:szCs w:val="32"/>
        </w:rPr>
        <w:t>鼓励银行创新融资方式。</w:t>
      </w:r>
      <w:r>
        <w:rPr>
          <w:rFonts w:hAnsi="仿宋_GB2312" w:eastAsia="仿宋_GB2312"/>
          <w:sz w:val="32"/>
          <w:szCs w:val="32"/>
        </w:rPr>
        <w:t>支持省内市场化征信机构征集共享和应用企业信用信息，提供多元化、集成化征信产品和服务，促进银企合作对接。用好</w:t>
      </w:r>
      <w:r>
        <w:rPr>
          <w:rFonts w:eastAsia="仿宋_GB2312"/>
          <w:sz w:val="32"/>
          <w:szCs w:val="32"/>
        </w:rPr>
        <w:t>“</w:t>
      </w:r>
      <w:r>
        <w:rPr>
          <w:rFonts w:hAnsi="仿宋_GB2312" w:eastAsia="仿宋_GB2312"/>
          <w:sz w:val="32"/>
          <w:szCs w:val="32"/>
        </w:rPr>
        <w:t>信易贷</w:t>
      </w:r>
      <w:r>
        <w:rPr>
          <w:rFonts w:eastAsia="仿宋_GB2312"/>
          <w:sz w:val="32"/>
          <w:szCs w:val="32"/>
        </w:rPr>
        <w:t>”“</w:t>
      </w:r>
      <w:r>
        <w:rPr>
          <w:rFonts w:hAnsi="仿宋_GB2312" w:eastAsia="仿宋_GB2312"/>
          <w:sz w:val="32"/>
          <w:szCs w:val="32"/>
        </w:rPr>
        <w:t>银税合作</w:t>
      </w:r>
      <w:r>
        <w:rPr>
          <w:rFonts w:eastAsia="仿宋_GB2312"/>
          <w:sz w:val="32"/>
          <w:szCs w:val="32"/>
        </w:rPr>
        <w:t>”“</w:t>
      </w:r>
      <w:r>
        <w:rPr>
          <w:rFonts w:hAnsi="仿宋_GB2312" w:eastAsia="仿宋_GB2312"/>
          <w:sz w:val="32"/>
          <w:szCs w:val="32"/>
        </w:rPr>
        <w:t>忻州综合金融服务平台</w:t>
      </w:r>
      <w:r>
        <w:rPr>
          <w:rFonts w:eastAsia="仿宋_GB2312"/>
          <w:sz w:val="32"/>
          <w:szCs w:val="32"/>
        </w:rPr>
        <w:t>”</w:t>
      </w:r>
      <w:r>
        <w:rPr>
          <w:rFonts w:hAnsi="仿宋_GB2312" w:eastAsia="仿宋_GB2312"/>
          <w:sz w:val="32"/>
          <w:szCs w:val="32"/>
        </w:rPr>
        <w:t>等平台，推动银行机构在成本可算、风险可控基础上，根据税务、市场监管等信用信息给予符合条件的中小企业信用贷款支持。结合开发性金融定位，围绕国家产业政策和国家明确的重点领域，对产业链骨干企业、供应链重点中小企业予以支持。出台中小微企业与国有企业应收账款确权融资业务促进办法，指导国有重点企业对接中征应收账款融资服务平台，培育成为供应链金融核心企业，为产业链关联企业的应收账款融资需求提供便利。大力推广</w:t>
      </w:r>
      <w:r>
        <w:rPr>
          <w:rFonts w:eastAsia="仿宋_GB2312"/>
          <w:sz w:val="32"/>
          <w:szCs w:val="32"/>
        </w:rPr>
        <w:t>“</w:t>
      </w:r>
      <w:r>
        <w:rPr>
          <w:rFonts w:hAnsi="仿宋_GB2312" w:eastAsia="仿宋_GB2312"/>
          <w:sz w:val="32"/>
          <w:szCs w:val="32"/>
        </w:rPr>
        <w:t>政采智贷</w:t>
      </w:r>
      <w:r>
        <w:rPr>
          <w:rFonts w:eastAsia="仿宋_GB2312"/>
          <w:sz w:val="32"/>
          <w:szCs w:val="32"/>
        </w:rPr>
        <w:t>”</w:t>
      </w:r>
      <w:r>
        <w:rPr>
          <w:rFonts w:hAnsi="仿宋_GB2312" w:eastAsia="仿宋_GB2312"/>
          <w:sz w:val="32"/>
          <w:szCs w:val="32"/>
        </w:rPr>
        <w:t>业务，引导银行机构为政府采购中标企业提供应融资服务。发挥服务民营企业</w:t>
      </w:r>
      <w:r>
        <w:rPr>
          <w:rFonts w:eastAsia="仿宋_GB2312"/>
          <w:sz w:val="32"/>
          <w:szCs w:val="32"/>
        </w:rPr>
        <w:t>“</w:t>
      </w:r>
      <w:r>
        <w:rPr>
          <w:rFonts w:hAnsi="仿宋_GB2312" w:eastAsia="仿宋_GB2312"/>
          <w:sz w:val="32"/>
          <w:szCs w:val="32"/>
        </w:rPr>
        <w:t>银团</w:t>
      </w:r>
      <w:r>
        <w:rPr>
          <w:rFonts w:eastAsia="仿宋_GB2312"/>
          <w:sz w:val="32"/>
          <w:szCs w:val="32"/>
        </w:rPr>
        <w:t>”</w:t>
      </w:r>
      <w:r>
        <w:rPr>
          <w:rFonts w:hAnsi="仿宋_GB2312" w:eastAsia="仿宋_GB2312"/>
          <w:sz w:val="32"/>
          <w:szCs w:val="32"/>
        </w:rPr>
        <w:t>作用，创新全方位泛金融服务产品，重点支持高新技术与转型升级项目。（责任单位：市发改委、市税务局、市市场监管局、市国资委、市工信局、市金融办、人行忻州市中心支行、忻州银保监分局、市工商联）</w:t>
      </w:r>
    </w:p>
    <w:p>
      <w:pPr>
        <w:spacing w:line="560" w:lineRule="exact"/>
        <w:ind w:firstLine="640" w:firstLineChars="200"/>
        <w:rPr>
          <w:rFonts w:eastAsia="仿宋_GB2312"/>
          <w:sz w:val="32"/>
          <w:szCs w:val="32"/>
        </w:rPr>
      </w:pPr>
      <w:r>
        <w:rPr>
          <w:rFonts w:eastAsia="楷体_GB2312"/>
          <w:sz w:val="32"/>
          <w:szCs w:val="32"/>
        </w:rPr>
        <w:t>9.</w:t>
      </w:r>
      <w:r>
        <w:rPr>
          <w:rFonts w:hAnsi="楷体_GB2312" w:eastAsia="楷体_GB2312"/>
          <w:sz w:val="32"/>
          <w:szCs w:val="32"/>
        </w:rPr>
        <w:t>加大普惠金融供给。</w:t>
      </w:r>
      <w:r>
        <w:rPr>
          <w:rFonts w:hAnsi="仿宋_GB2312" w:eastAsia="仿宋_GB2312"/>
          <w:sz w:val="32"/>
          <w:szCs w:val="32"/>
        </w:rPr>
        <w:t>继续加大小微企业首贷、续贷、信用贷款投放力度，持续提升小微企业信用贷款占比，力争实现单户授信</w:t>
      </w:r>
      <w:r>
        <w:rPr>
          <w:rFonts w:eastAsia="仿宋_GB2312"/>
          <w:sz w:val="32"/>
          <w:szCs w:val="32"/>
        </w:rPr>
        <w:t>1000</w:t>
      </w:r>
      <w:r>
        <w:rPr>
          <w:rFonts w:hAnsi="仿宋_GB2312" w:eastAsia="仿宋_GB2312"/>
          <w:sz w:val="32"/>
          <w:szCs w:val="32"/>
        </w:rPr>
        <w:t>万元以下普惠型小微企业贷款较年初增速不低于各项贷款增速，新增小微</w:t>
      </w:r>
      <w:r>
        <w:rPr>
          <w:rFonts w:eastAsia="仿宋_GB2312"/>
          <w:sz w:val="32"/>
          <w:szCs w:val="32"/>
        </w:rPr>
        <w:t>“</w:t>
      </w:r>
      <w:r>
        <w:rPr>
          <w:rFonts w:hAnsi="仿宋_GB2312" w:eastAsia="仿宋_GB2312"/>
          <w:sz w:val="32"/>
          <w:szCs w:val="32"/>
        </w:rPr>
        <w:t>首贷户</w:t>
      </w:r>
      <w:r>
        <w:rPr>
          <w:rFonts w:eastAsia="仿宋_GB2312"/>
          <w:sz w:val="32"/>
          <w:szCs w:val="32"/>
        </w:rPr>
        <w:t>”</w:t>
      </w:r>
      <w:r>
        <w:rPr>
          <w:rFonts w:hAnsi="仿宋_GB2312" w:eastAsia="仿宋_GB2312"/>
          <w:sz w:val="32"/>
          <w:szCs w:val="32"/>
        </w:rPr>
        <w:t>数量高于上年。鼓励辖内商业银行对受疫情、自然灾害及原材料价格上涨等影响严重的小微企业，加强流动资金贷款支持，对发展前景较好但暂时受困且符合授信条件的小微企业，加大贷款展期、无还本续贷、追加临时授信额度等帮扶力度，不得盲目抽贷、断贷和压贷。（责任单位：人行忻州市中心支行、忻州银保监分局、市金融办）</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sz w:val="32"/>
          <w:szCs w:val="32"/>
        </w:rPr>
      </w:pPr>
      <w:r>
        <w:rPr>
          <w:rFonts w:eastAsia="楷体_GB2312"/>
          <w:sz w:val="32"/>
          <w:szCs w:val="32"/>
        </w:rPr>
        <w:t>10.</w:t>
      </w:r>
      <w:r>
        <w:rPr>
          <w:rFonts w:hAnsi="楷体_GB2312" w:eastAsia="楷体_GB2312"/>
          <w:sz w:val="32"/>
          <w:szCs w:val="32"/>
        </w:rPr>
        <w:t>提升服务质效。</w:t>
      </w:r>
      <w:r>
        <w:rPr>
          <w:rFonts w:hAnsi="仿宋_GB2312" w:eastAsia="仿宋_GB2312"/>
          <w:sz w:val="32"/>
          <w:szCs w:val="32"/>
        </w:rPr>
        <w:t>深入开展中小微企业金融服务能力提升工程，引导各银行业金融机构不断完善内部政策安排和激励约束机制，强化</w:t>
      </w:r>
      <w:r>
        <w:rPr>
          <w:rFonts w:eastAsia="仿宋_GB2312"/>
          <w:sz w:val="32"/>
          <w:szCs w:val="32"/>
        </w:rPr>
        <w:t>“</w:t>
      </w:r>
      <w:r>
        <w:rPr>
          <w:rFonts w:hAnsi="仿宋_GB2312" w:eastAsia="仿宋_GB2312"/>
          <w:sz w:val="32"/>
          <w:szCs w:val="32"/>
        </w:rPr>
        <w:t>敢贷、愿贷、能贷、会贷</w:t>
      </w:r>
      <w:r>
        <w:rPr>
          <w:rFonts w:eastAsia="仿宋_GB2312"/>
          <w:sz w:val="32"/>
          <w:szCs w:val="32"/>
        </w:rPr>
        <w:t>”</w:t>
      </w:r>
      <w:r>
        <w:rPr>
          <w:rFonts w:hAnsi="仿宋_GB2312" w:eastAsia="仿宋_GB2312"/>
          <w:sz w:val="32"/>
          <w:szCs w:val="32"/>
        </w:rPr>
        <w:t>长效机制建设，实现小微信贷业务内部转移定价优惠力度不低于</w:t>
      </w:r>
      <w:r>
        <w:rPr>
          <w:rFonts w:eastAsia="仿宋_GB2312"/>
          <w:sz w:val="32"/>
          <w:szCs w:val="32"/>
        </w:rPr>
        <w:t>50</w:t>
      </w:r>
      <w:r>
        <w:rPr>
          <w:rFonts w:hAnsi="仿宋_GB2312" w:eastAsia="仿宋_GB2312"/>
          <w:sz w:val="32"/>
          <w:szCs w:val="32"/>
        </w:rPr>
        <w:t>个基点，普惠金融在综合绩效考核中的权重提升至</w:t>
      </w:r>
      <w:r>
        <w:rPr>
          <w:rFonts w:eastAsia="仿宋_GB2312"/>
          <w:sz w:val="32"/>
          <w:szCs w:val="32"/>
        </w:rPr>
        <w:t>10%</w:t>
      </w:r>
      <w:r>
        <w:rPr>
          <w:rFonts w:hAnsi="仿宋_GB2312" w:eastAsia="仿宋_GB2312"/>
          <w:sz w:val="32"/>
          <w:szCs w:val="32"/>
        </w:rPr>
        <w:t>以上。强化金融科技赋能、整合行内交易结算以及外部征信、税务、市场监管信息，提升</w:t>
      </w:r>
      <w:r>
        <w:rPr>
          <w:rFonts w:eastAsia="仿宋_GB2312"/>
          <w:sz w:val="32"/>
          <w:szCs w:val="32"/>
        </w:rPr>
        <w:t>“</w:t>
      </w:r>
      <w:r>
        <w:rPr>
          <w:rFonts w:hAnsi="仿宋_GB2312" w:eastAsia="仿宋_GB2312"/>
          <w:sz w:val="32"/>
          <w:szCs w:val="32"/>
        </w:rPr>
        <w:t>信用画像</w:t>
      </w:r>
      <w:r>
        <w:rPr>
          <w:rFonts w:eastAsia="仿宋_GB2312"/>
          <w:sz w:val="32"/>
          <w:szCs w:val="32"/>
        </w:rPr>
        <w:t>”</w:t>
      </w:r>
      <w:r>
        <w:rPr>
          <w:rFonts w:hAnsi="仿宋_GB2312" w:eastAsia="仿宋_GB2312"/>
          <w:sz w:val="32"/>
          <w:szCs w:val="32"/>
        </w:rPr>
        <w:t>精准度和风险管控能力。鼓励大型银行发挥行业带头作用，下沉服务重心，充分利用互联网技术和渠道，加强与互联网、大数据深度融合，完善推广线上贷款业务，加强对市场主体</w:t>
      </w:r>
      <w:r>
        <w:rPr>
          <w:rFonts w:eastAsia="仿宋_GB2312"/>
          <w:sz w:val="32"/>
          <w:szCs w:val="32"/>
        </w:rPr>
        <w:t>“</w:t>
      </w:r>
      <w:r>
        <w:rPr>
          <w:rFonts w:hAnsi="仿宋_GB2312" w:eastAsia="仿宋_GB2312"/>
          <w:sz w:val="32"/>
          <w:szCs w:val="32"/>
        </w:rPr>
        <w:t>滴灌</w:t>
      </w:r>
      <w:r>
        <w:rPr>
          <w:rFonts w:eastAsia="仿宋_GB2312"/>
          <w:sz w:val="32"/>
          <w:szCs w:val="32"/>
        </w:rPr>
        <w:t>”</w:t>
      </w:r>
      <w:r>
        <w:rPr>
          <w:rFonts w:hAnsi="仿宋_GB2312" w:eastAsia="仿宋_GB2312"/>
          <w:sz w:val="32"/>
          <w:szCs w:val="32"/>
        </w:rPr>
        <w:t>式融资供给，扩大对中小微企业的信贷服务覆盖面。鼓励辖内保险公司深化银保合作机制，扩大面向小微企业的小额贷款保证保险、质押贷款保证保险等融资增信业务，稳健发展出口信用保险和国内贸易信用保险。（责任单位：忻州银保监分局、市金融办）</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黑体"/>
          <w:sz w:val="32"/>
          <w:szCs w:val="32"/>
        </w:rPr>
      </w:pPr>
      <w:r>
        <w:rPr>
          <w:rFonts w:hAnsi="黑体" w:eastAsia="黑体"/>
          <w:sz w:val="32"/>
          <w:szCs w:val="32"/>
        </w:rPr>
        <w:t>四、减轻企业负担</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sz w:val="32"/>
          <w:szCs w:val="32"/>
        </w:rPr>
      </w:pPr>
      <w:r>
        <w:rPr>
          <w:rFonts w:eastAsia="楷体_GB2312"/>
          <w:sz w:val="32"/>
          <w:szCs w:val="32"/>
        </w:rPr>
        <w:t>11.</w:t>
      </w:r>
      <w:r>
        <w:rPr>
          <w:rFonts w:hAnsi="楷体_GB2312" w:eastAsia="楷体_GB2312"/>
          <w:sz w:val="32"/>
          <w:szCs w:val="32"/>
        </w:rPr>
        <w:t>加强大宗商品监测预警。</w:t>
      </w:r>
      <w:r>
        <w:rPr>
          <w:rFonts w:hAnsi="仿宋_GB2312" w:eastAsia="仿宋_GB2312"/>
          <w:sz w:val="32"/>
          <w:szCs w:val="32"/>
        </w:rPr>
        <w:t>依托</w:t>
      </w:r>
      <w:r>
        <w:rPr>
          <w:rFonts w:eastAsia="仿宋_GB2312"/>
          <w:sz w:val="32"/>
          <w:szCs w:val="32"/>
        </w:rPr>
        <w:t>12345</w:t>
      </w:r>
      <w:r>
        <w:rPr>
          <w:rFonts w:hAnsi="仿宋_GB2312" w:eastAsia="仿宋_GB2312"/>
          <w:sz w:val="32"/>
          <w:szCs w:val="32"/>
        </w:rPr>
        <w:t>平台加快办理原材料价格投诉举报。</w:t>
      </w:r>
      <w:r>
        <w:rPr>
          <w:rFonts w:hAnsi="仿宋_GB2312" w:eastAsia="仿宋_GB2312"/>
          <w:color w:val="000000"/>
          <w:sz w:val="32"/>
          <w:szCs w:val="32"/>
        </w:rPr>
        <w:t>开展涉企违规收费专项整治行动，加大涉企违规收费检查力度，对经营者存在价格违法行为依法查处。依托国家企业信用信息公示系统（山西），及时归集企业基本信息、行政许可、行政处罚、经营异常和严重违法失信等信息。</w:t>
      </w:r>
      <w:r>
        <w:rPr>
          <w:rFonts w:hAnsi="仿宋_GB2312" w:eastAsia="仿宋_GB2312"/>
          <w:sz w:val="32"/>
          <w:szCs w:val="32"/>
        </w:rPr>
        <w:t>（责任单位：市市场监督管理局）</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sz w:val="32"/>
          <w:szCs w:val="32"/>
        </w:rPr>
      </w:pPr>
      <w:r>
        <w:rPr>
          <w:rFonts w:eastAsia="楷体_GB2312"/>
          <w:sz w:val="32"/>
          <w:szCs w:val="32"/>
        </w:rPr>
        <w:t>12.</w:t>
      </w:r>
      <w:r>
        <w:rPr>
          <w:rFonts w:hAnsi="楷体_GB2312" w:eastAsia="楷体_GB2312"/>
          <w:sz w:val="32"/>
          <w:szCs w:val="32"/>
        </w:rPr>
        <w:t>降低综合物流成本。</w:t>
      </w:r>
      <w:r>
        <w:rPr>
          <w:rFonts w:hAnsi="仿宋_GB2312" w:eastAsia="仿宋_GB2312"/>
          <w:sz w:val="32"/>
          <w:szCs w:val="32"/>
        </w:rPr>
        <w:t>在不削弱高速公路偿债能力的基础上，继续推广高速公路差异化收费政策。（责任单位：市交通局、市发改委、市财政局）</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黑体"/>
          <w:sz w:val="32"/>
          <w:szCs w:val="32"/>
        </w:rPr>
      </w:pPr>
      <w:r>
        <w:rPr>
          <w:rFonts w:hAnsi="黑体" w:eastAsia="黑体"/>
          <w:sz w:val="32"/>
          <w:szCs w:val="32"/>
        </w:rPr>
        <w:t>五、企业用电保供降本</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sz w:val="32"/>
          <w:szCs w:val="32"/>
        </w:rPr>
      </w:pPr>
      <w:r>
        <w:rPr>
          <w:rFonts w:eastAsia="楷体_GB2312"/>
          <w:sz w:val="32"/>
          <w:szCs w:val="32"/>
        </w:rPr>
        <w:t>13.</w:t>
      </w:r>
      <w:r>
        <w:rPr>
          <w:rFonts w:hAnsi="楷体_GB2312" w:eastAsia="楷体_GB2312"/>
          <w:sz w:val="32"/>
          <w:szCs w:val="32"/>
        </w:rPr>
        <w:t>加强能源要素保障。</w:t>
      </w:r>
      <w:r>
        <w:rPr>
          <w:rFonts w:hAnsi="仿宋_GB2312" w:eastAsia="仿宋_GB2312"/>
          <w:sz w:val="32"/>
          <w:szCs w:val="32"/>
        </w:rPr>
        <w:t>科学实施有序用电，强化用电负荷预测管理，统筹兼顾，合理安排错峰用电。充分发挥电力市场的分时价格信号，通过电力需求响应满足电力平衡，不稿</w:t>
      </w:r>
      <w:r>
        <w:rPr>
          <w:rFonts w:eastAsia="仿宋_GB2312"/>
          <w:sz w:val="32"/>
          <w:szCs w:val="32"/>
        </w:rPr>
        <w:t>“</w:t>
      </w:r>
      <w:r>
        <w:rPr>
          <w:rFonts w:hAnsi="仿宋_GB2312" w:eastAsia="仿宋_GB2312"/>
          <w:sz w:val="32"/>
          <w:szCs w:val="32"/>
        </w:rPr>
        <w:t>一刀切</w:t>
      </w:r>
      <w:r>
        <w:rPr>
          <w:rFonts w:eastAsia="仿宋_GB2312"/>
          <w:sz w:val="32"/>
          <w:szCs w:val="32"/>
        </w:rPr>
        <w:t>”</w:t>
      </w:r>
      <w:r>
        <w:rPr>
          <w:rFonts w:hAnsi="仿宋_GB2312" w:eastAsia="仿宋_GB2312"/>
          <w:sz w:val="32"/>
          <w:szCs w:val="32"/>
        </w:rPr>
        <w:t>盲目拉闸限电、限产停产，根据《</w:t>
      </w:r>
      <w:r>
        <w:rPr>
          <w:rFonts w:eastAsia="仿宋_GB2312"/>
          <w:sz w:val="32"/>
          <w:szCs w:val="32"/>
        </w:rPr>
        <w:t>2022</w:t>
      </w:r>
      <w:r>
        <w:rPr>
          <w:rFonts w:hAnsi="仿宋_GB2312" w:eastAsia="仿宋_GB2312"/>
          <w:sz w:val="32"/>
          <w:szCs w:val="32"/>
        </w:rPr>
        <w:t>年忻州电网有序用电方案（修订版）》因企制宜实施差别化管理，确保企业稳定生产经营。（责任单位：市能源局、市发改委）</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sz w:val="32"/>
          <w:szCs w:val="32"/>
        </w:rPr>
      </w:pPr>
      <w:r>
        <w:rPr>
          <w:rFonts w:eastAsia="楷体_GB2312"/>
          <w:sz w:val="32"/>
          <w:szCs w:val="32"/>
        </w:rPr>
        <w:t>14.</w:t>
      </w:r>
      <w:r>
        <w:rPr>
          <w:rFonts w:hAnsi="楷体_GB2312" w:eastAsia="楷体_GB2312"/>
          <w:sz w:val="32"/>
          <w:szCs w:val="32"/>
        </w:rPr>
        <w:t>持续推进电价优惠。</w:t>
      </w:r>
      <w:r>
        <w:rPr>
          <w:rFonts w:hAnsi="仿宋_GB2312" w:eastAsia="仿宋_GB2312"/>
          <w:sz w:val="32"/>
          <w:szCs w:val="32"/>
        </w:rPr>
        <w:t>强化战略性新兴产业电价支持，鼓励战略性新兴产业企业积极参与市场化直接交易，将符合条件的中小企业及时备案，尽早享受电价优惠。（责任单位：市发改委、市工信局、市能源局）</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黑体"/>
          <w:sz w:val="32"/>
          <w:szCs w:val="32"/>
        </w:rPr>
      </w:pPr>
      <w:r>
        <w:rPr>
          <w:rFonts w:hAnsi="黑体" w:eastAsia="黑体"/>
          <w:sz w:val="32"/>
          <w:szCs w:val="32"/>
        </w:rPr>
        <w:t>六、支持企业稳岗扩岗</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sz w:val="32"/>
          <w:szCs w:val="32"/>
        </w:rPr>
      </w:pPr>
      <w:r>
        <w:rPr>
          <w:rFonts w:eastAsia="楷体_GB2312"/>
          <w:sz w:val="32"/>
          <w:szCs w:val="32"/>
        </w:rPr>
        <w:t>15.</w:t>
      </w:r>
      <w:r>
        <w:rPr>
          <w:rFonts w:hAnsi="楷体_GB2312" w:eastAsia="楷体_GB2312"/>
          <w:sz w:val="32"/>
          <w:szCs w:val="32"/>
        </w:rPr>
        <w:t>落实减负稳岗扩就业政策。</w:t>
      </w:r>
      <w:r>
        <w:rPr>
          <w:rFonts w:hAnsi="仿宋_GB2312" w:eastAsia="仿宋_GB2312"/>
          <w:sz w:val="32"/>
          <w:szCs w:val="32"/>
        </w:rPr>
        <w:t>落实小微企业吸纳劳动者一次性就业补助以及招用就业困难人员和高校毕业生社保补贴。落实首次创办小微企业或从事个体经营的一次性创业补贴。阶段性降低失业保险率政策覆盖中小企业，降低中小企业享受稳岗返还政策裁员率要求，实现中小企业发放稳岗返还政策</w:t>
      </w:r>
      <w:r>
        <w:rPr>
          <w:rFonts w:eastAsia="仿宋_GB2312"/>
          <w:sz w:val="32"/>
          <w:szCs w:val="32"/>
        </w:rPr>
        <w:t>“</w:t>
      </w:r>
      <w:r>
        <w:rPr>
          <w:rFonts w:hAnsi="仿宋_GB2312" w:eastAsia="仿宋_GB2312"/>
          <w:sz w:val="32"/>
          <w:szCs w:val="32"/>
        </w:rPr>
        <w:t>免申即享</w:t>
      </w:r>
      <w:r>
        <w:rPr>
          <w:rFonts w:eastAsia="仿宋_GB2312"/>
          <w:sz w:val="32"/>
          <w:szCs w:val="32"/>
        </w:rPr>
        <w:t>”</w:t>
      </w:r>
      <w:r>
        <w:rPr>
          <w:rFonts w:hAnsi="仿宋_GB2312" w:eastAsia="仿宋_GB2312"/>
          <w:sz w:val="32"/>
          <w:szCs w:val="32"/>
        </w:rPr>
        <w:t>模式。（责任单位：市人社局）</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sz w:val="32"/>
          <w:szCs w:val="32"/>
        </w:rPr>
      </w:pPr>
      <w:r>
        <w:rPr>
          <w:rFonts w:eastAsia="楷体_GB2312"/>
          <w:sz w:val="32"/>
          <w:szCs w:val="32"/>
        </w:rPr>
        <w:t>16.</w:t>
      </w:r>
      <w:r>
        <w:rPr>
          <w:rFonts w:hAnsi="楷体_GB2312" w:eastAsia="楷体_GB2312"/>
          <w:sz w:val="32"/>
          <w:szCs w:val="32"/>
        </w:rPr>
        <w:t>搭建人才供需平台。</w:t>
      </w:r>
      <w:r>
        <w:rPr>
          <w:rFonts w:hAnsi="仿宋_GB2312" w:eastAsia="仿宋_GB2312"/>
          <w:sz w:val="32"/>
          <w:szCs w:val="32"/>
        </w:rPr>
        <w:t>加强中小企业与劳动者供需对接，举办百日千万网络招聘专项行动、金秋招聘月等公共就业服务活动。为非公有制企业提供免费档案公共服务。组织高校参加</w:t>
      </w:r>
      <w:r>
        <w:rPr>
          <w:rFonts w:eastAsia="仿宋_GB2312"/>
          <w:sz w:val="32"/>
          <w:szCs w:val="32"/>
        </w:rPr>
        <w:t>“</w:t>
      </w:r>
      <w:r>
        <w:rPr>
          <w:rFonts w:hAnsi="仿宋_GB2312" w:eastAsia="仿宋_GB2312"/>
          <w:sz w:val="32"/>
          <w:szCs w:val="32"/>
        </w:rPr>
        <w:t>全国中小企业人才供需</w:t>
      </w:r>
      <w:r>
        <w:rPr>
          <w:rFonts w:eastAsia="仿宋_GB2312"/>
          <w:sz w:val="32"/>
          <w:szCs w:val="32"/>
        </w:rPr>
        <w:t>”</w:t>
      </w:r>
      <w:r>
        <w:rPr>
          <w:rFonts w:hAnsi="仿宋_GB2312" w:eastAsia="仿宋_GB2312"/>
          <w:sz w:val="32"/>
          <w:szCs w:val="32"/>
        </w:rPr>
        <w:t>专题专场招聘活动。（责任单位：市人社局、市教育局）</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黑体"/>
          <w:sz w:val="32"/>
          <w:szCs w:val="32"/>
        </w:rPr>
      </w:pPr>
      <w:r>
        <w:rPr>
          <w:rFonts w:hAnsi="黑体" w:eastAsia="黑体"/>
          <w:sz w:val="32"/>
          <w:szCs w:val="32"/>
        </w:rPr>
        <w:t>七、保障中小企业款项支付</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sz w:val="32"/>
          <w:szCs w:val="32"/>
        </w:rPr>
      </w:pPr>
      <w:r>
        <w:rPr>
          <w:rFonts w:eastAsia="楷体_GB2312"/>
          <w:sz w:val="32"/>
          <w:szCs w:val="32"/>
        </w:rPr>
        <w:t>17.</w:t>
      </w:r>
      <w:r>
        <w:rPr>
          <w:rFonts w:hAnsi="楷体_GB2312" w:eastAsia="楷体_GB2312"/>
          <w:sz w:val="32"/>
          <w:szCs w:val="32"/>
        </w:rPr>
        <w:t>持续清理拖欠中小企业账款。</w:t>
      </w:r>
      <w:r>
        <w:rPr>
          <w:rFonts w:hAnsi="仿宋_GB2312" w:eastAsia="仿宋_GB2312"/>
          <w:sz w:val="32"/>
          <w:szCs w:val="32"/>
        </w:rPr>
        <w:t>认真贯彻落实《保障中小企业款项支付条例》，执行我省保障中小企业款项支付投诉处理办法。继续开展清理拖欠中小企业账款专项行动，加快解决剩余有分歧欠款，对确属清欠范围的有分歧欠款，督促双方通过调解、协商等途径加快解决；对双方存在较大分歧、难以有效解决的欠款，引导双方运用法律手段加快解决。国有大型企业对中小企业欠款要做到按合同履约，应付尽付；对政府机关、事业单位和大型企业未按还款协议约定还款及其他未履行支付义务的行为严格督办检查，加大约谈力度，依法依规对不履行及时支付中小企业款项义务的情况进行通报，对情节严重的实施失信惩戒。（责任单位：市工信局）</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sz w:val="32"/>
          <w:szCs w:val="32"/>
        </w:rPr>
      </w:pPr>
      <w:r>
        <w:rPr>
          <w:rFonts w:eastAsia="楷体_GB2312"/>
          <w:sz w:val="32"/>
          <w:szCs w:val="32"/>
        </w:rPr>
        <w:t>18.</w:t>
      </w:r>
      <w:r>
        <w:rPr>
          <w:rFonts w:hAnsi="楷体_GB2312" w:eastAsia="楷体_GB2312"/>
          <w:sz w:val="32"/>
          <w:szCs w:val="32"/>
        </w:rPr>
        <w:t>加强监督检查和审计监督。</w:t>
      </w:r>
      <w:r>
        <w:rPr>
          <w:rFonts w:hAnsi="仿宋_GB2312" w:eastAsia="仿宋_GB2312"/>
          <w:sz w:val="32"/>
          <w:szCs w:val="32"/>
        </w:rPr>
        <w:t>贯彻督查制度，对及时支付中小企业款项工作进行监督检查，对未按规定反馈投诉事项处理结果，或在处理投诉事项时存在推诿、敷衍、拖延、弄虚作假等情形的进行工作通报。审计机关依法对机关、事业单位和国有大型企业支付中小企业款项情况实施审计监督。（责任单位：市审计局、市工信局）</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黑体"/>
          <w:sz w:val="32"/>
          <w:szCs w:val="32"/>
        </w:rPr>
      </w:pPr>
      <w:r>
        <w:rPr>
          <w:rFonts w:hAnsi="黑体" w:eastAsia="黑体"/>
          <w:sz w:val="32"/>
          <w:szCs w:val="32"/>
        </w:rPr>
        <w:t>八、扩大市场有效需求</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sz w:val="32"/>
          <w:szCs w:val="32"/>
        </w:rPr>
      </w:pPr>
      <w:r>
        <w:rPr>
          <w:rFonts w:eastAsia="楷体_GB2312"/>
          <w:sz w:val="32"/>
          <w:szCs w:val="32"/>
        </w:rPr>
        <w:t>19.</w:t>
      </w:r>
      <w:r>
        <w:rPr>
          <w:rFonts w:hAnsi="楷体_GB2312" w:eastAsia="楷体_GB2312"/>
          <w:sz w:val="32"/>
          <w:szCs w:val="32"/>
        </w:rPr>
        <w:t>鼓励中小企业进入民生和新基建领域。</w:t>
      </w:r>
      <w:r>
        <w:rPr>
          <w:rFonts w:hAnsi="仿宋_GB2312" w:eastAsia="仿宋_GB2312"/>
          <w:sz w:val="32"/>
          <w:szCs w:val="32"/>
        </w:rPr>
        <w:t>支持中小企业兴办或参与举办各类医疗、幼儿园、职业教育学校、养老康养、文化体育运营等公共服务机构，支持中小企业参与供水、供热、燃气、垃圾处理、污水处理、城乡环卫、邮政快递等公用事业的设施建设和管理运营，引导中小企业参与道路、桥梁、停车场、消防、环保、中小型水利、公共区域户外广告、高铁站点商圈等新型基础设施建设投资运营。（责任单位：市卫健委、市教育局、市文旅局、市民政局、市体育局、市生态</w:t>
      </w:r>
      <w:r>
        <w:rPr>
          <w:rFonts w:hint="eastAsia" w:hAnsi="仿宋_GB2312" w:eastAsia="仿宋_GB2312"/>
          <w:sz w:val="32"/>
          <w:szCs w:val="32"/>
          <w:lang w:eastAsia="zh-CN"/>
        </w:rPr>
        <w:t>环境</w:t>
      </w:r>
      <w:r>
        <w:rPr>
          <w:rFonts w:hAnsi="仿宋_GB2312" w:eastAsia="仿宋_GB2312"/>
          <w:sz w:val="32"/>
          <w:szCs w:val="32"/>
        </w:rPr>
        <w:t>局、市住建局、市交通局、市水利局）</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sz w:val="32"/>
          <w:szCs w:val="32"/>
        </w:rPr>
      </w:pPr>
      <w:r>
        <w:rPr>
          <w:rFonts w:eastAsia="楷体_GB2312"/>
          <w:sz w:val="32"/>
          <w:szCs w:val="32"/>
        </w:rPr>
        <w:t>20.</w:t>
      </w:r>
      <w:r>
        <w:rPr>
          <w:rFonts w:hAnsi="楷体_GB2312" w:eastAsia="楷体_GB2312"/>
          <w:sz w:val="32"/>
          <w:szCs w:val="32"/>
        </w:rPr>
        <w:t>加大政府采购支持中小企业力度。</w:t>
      </w:r>
      <w:r>
        <w:rPr>
          <w:rFonts w:hAnsi="仿宋_GB2312" w:eastAsia="仿宋_GB2312"/>
          <w:sz w:val="32"/>
          <w:szCs w:val="32"/>
        </w:rPr>
        <w:t>落实《政府采购促进中小企业发展管理办法》，公开招标限额以下且适宜由中小企业提供的全部预算留给中小企业，其余项目预留预算总额</w:t>
      </w:r>
      <w:r>
        <w:rPr>
          <w:rFonts w:eastAsia="仿宋_GB2312"/>
          <w:sz w:val="32"/>
          <w:szCs w:val="32"/>
        </w:rPr>
        <w:t>30%</w:t>
      </w:r>
      <w:r>
        <w:rPr>
          <w:rFonts w:hAnsi="仿宋_GB2312" w:eastAsia="仿宋_GB2312"/>
          <w:sz w:val="32"/>
          <w:szCs w:val="32"/>
        </w:rPr>
        <w:t>以上专门面向中小企业采购，积极应用采购需求管理、优先采购、价格评审优惠等措施提高中小企业的合同比重。（责任单位：市财政局）</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sz w:val="32"/>
          <w:szCs w:val="32"/>
        </w:rPr>
      </w:pPr>
      <w:r>
        <w:rPr>
          <w:rFonts w:eastAsia="楷体_GB2312"/>
          <w:sz w:val="32"/>
          <w:szCs w:val="32"/>
        </w:rPr>
        <w:t>21.</w:t>
      </w:r>
      <w:r>
        <w:rPr>
          <w:rFonts w:hAnsi="楷体_GB2312" w:eastAsia="楷体_GB2312"/>
          <w:sz w:val="32"/>
          <w:szCs w:val="32"/>
        </w:rPr>
        <w:t>提供市场推广服务。</w:t>
      </w:r>
      <w:r>
        <w:rPr>
          <w:rFonts w:hAnsi="仿宋_GB2312" w:eastAsia="仿宋_GB2312"/>
          <w:sz w:val="32"/>
          <w:szCs w:val="32"/>
        </w:rPr>
        <w:t>积极组织我市中小企</w:t>
      </w:r>
      <w:bookmarkStart w:id="0" w:name="_GoBack"/>
      <w:bookmarkEnd w:id="0"/>
      <w:r>
        <w:rPr>
          <w:rFonts w:hAnsi="仿宋_GB2312" w:eastAsia="仿宋_GB2312"/>
          <w:sz w:val="32"/>
          <w:szCs w:val="32"/>
        </w:rPr>
        <w:t>业参加中国国际中小企业博览会、</w:t>
      </w:r>
      <w:r>
        <w:rPr>
          <w:rFonts w:eastAsia="仿宋_GB2312"/>
          <w:sz w:val="32"/>
          <w:szCs w:val="32"/>
        </w:rPr>
        <w:t>APEC</w:t>
      </w:r>
      <w:r>
        <w:rPr>
          <w:rFonts w:hAnsi="仿宋_GB2312" w:eastAsia="仿宋_GB2312"/>
          <w:sz w:val="32"/>
          <w:szCs w:val="32"/>
        </w:rPr>
        <w:t>技展会、山西品牌中华行丝路行等国际国内大型展会，积极争取省级部门展位费、布展费等参展补贴。通过公共服务平台网络和主流媒体积极宣传中小企业、</w:t>
      </w:r>
      <w:r>
        <w:rPr>
          <w:rFonts w:eastAsia="仿宋_GB2312"/>
          <w:sz w:val="32"/>
          <w:szCs w:val="32"/>
        </w:rPr>
        <w:t>“</w:t>
      </w:r>
      <w:r>
        <w:rPr>
          <w:rFonts w:hAnsi="仿宋_GB2312" w:eastAsia="仿宋_GB2312"/>
          <w:sz w:val="32"/>
          <w:szCs w:val="32"/>
        </w:rPr>
        <w:t>专精特新</w:t>
      </w:r>
      <w:r>
        <w:rPr>
          <w:rFonts w:eastAsia="仿宋_GB2312"/>
          <w:sz w:val="32"/>
          <w:szCs w:val="32"/>
        </w:rPr>
        <w:t>”</w:t>
      </w:r>
      <w:r>
        <w:rPr>
          <w:rFonts w:hAnsi="仿宋_GB2312" w:eastAsia="仿宋_GB2312"/>
          <w:sz w:val="32"/>
          <w:szCs w:val="32"/>
        </w:rPr>
        <w:t>中小企业及项目、产品，建立</w:t>
      </w:r>
      <w:r>
        <w:rPr>
          <w:rFonts w:eastAsia="仿宋_GB2312"/>
          <w:sz w:val="32"/>
          <w:szCs w:val="32"/>
        </w:rPr>
        <w:t>“</w:t>
      </w:r>
      <w:r>
        <w:rPr>
          <w:rFonts w:hAnsi="仿宋_GB2312" w:eastAsia="仿宋_GB2312"/>
          <w:sz w:val="32"/>
          <w:szCs w:val="32"/>
        </w:rPr>
        <w:t>专精特新</w:t>
      </w:r>
      <w:r>
        <w:rPr>
          <w:rFonts w:eastAsia="仿宋_GB2312"/>
          <w:sz w:val="32"/>
          <w:szCs w:val="32"/>
        </w:rPr>
        <w:t>”</w:t>
      </w:r>
      <w:r>
        <w:rPr>
          <w:rFonts w:hAnsi="仿宋_GB2312" w:eastAsia="仿宋_GB2312"/>
          <w:sz w:val="32"/>
          <w:szCs w:val="32"/>
        </w:rPr>
        <w:t>中小企业优质产品推送服务机制，帮助</w:t>
      </w:r>
      <w:r>
        <w:rPr>
          <w:rFonts w:eastAsia="仿宋_GB2312"/>
          <w:sz w:val="32"/>
          <w:szCs w:val="32"/>
        </w:rPr>
        <w:t>“</w:t>
      </w:r>
      <w:r>
        <w:rPr>
          <w:rFonts w:hAnsi="仿宋_GB2312" w:eastAsia="仿宋_GB2312"/>
          <w:sz w:val="32"/>
          <w:szCs w:val="32"/>
        </w:rPr>
        <w:t>专精特新</w:t>
      </w:r>
      <w:r>
        <w:rPr>
          <w:rFonts w:eastAsia="仿宋_GB2312"/>
          <w:sz w:val="32"/>
          <w:szCs w:val="32"/>
        </w:rPr>
        <w:t>”</w:t>
      </w:r>
      <w:r>
        <w:rPr>
          <w:rFonts w:hAnsi="仿宋_GB2312" w:eastAsia="仿宋_GB2312"/>
          <w:sz w:val="32"/>
          <w:szCs w:val="32"/>
        </w:rPr>
        <w:t>企业对接展示展销平台。（责任单位：市工信局、市贸促会）</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sz w:val="32"/>
          <w:szCs w:val="32"/>
          <w:shd w:val="clear" w:color="auto" w:fill="FFFFFF"/>
        </w:rPr>
      </w:pPr>
      <w:r>
        <w:rPr>
          <w:rFonts w:eastAsia="楷体_GB2312"/>
          <w:sz w:val="32"/>
          <w:szCs w:val="32"/>
        </w:rPr>
        <w:t>22.</w:t>
      </w:r>
      <w:r>
        <w:rPr>
          <w:rFonts w:hAnsi="楷体_GB2312" w:eastAsia="楷体_GB2312"/>
          <w:sz w:val="32"/>
          <w:szCs w:val="32"/>
        </w:rPr>
        <w:t>支持中小企业跨境发展。</w:t>
      </w:r>
      <w:r>
        <w:rPr>
          <w:rFonts w:hAnsi="仿宋_GB2312" w:eastAsia="仿宋_GB2312"/>
          <w:sz w:val="32"/>
          <w:szCs w:val="32"/>
        </w:rPr>
        <w:t>推动银行业金融机构搭建</w:t>
      </w:r>
      <w:r>
        <w:rPr>
          <w:rFonts w:eastAsia="仿宋_GB2312"/>
          <w:sz w:val="32"/>
          <w:szCs w:val="32"/>
        </w:rPr>
        <w:t>“</w:t>
      </w:r>
      <w:r>
        <w:rPr>
          <w:rFonts w:hAnsi="仿宋_GB2312" w:eastAsia="仿宋_GB2312"/>
          <w:sz w:val="32"/>
          <w:szCs w:val="32"/>
        </w:rPr>
        <w:t>线上</w:t>
      </w:r>
      <w:r>
        <w:rPr>
          <w:rFonts w:eastAsia="仿宋_GB2312"/>
          <w:sz w:val="32"/>
          <w:szCs w:val="32"/>
        </w:rPr>
        <w:t>+</w:t>
      </w:r>
      <w:r>
        <w:rPr>
          <w:rFonts w:hAnsi="仿宋_GB2312" w:eastAsia="仿宋_GB2312"/>
          <w:sz w:val="32"/>
          <w:szCs w:val="32"/>
        </w:rPr>
        <w:t>线下</w:t>
      </w:r>
      <w:r>
        <w:rPr>
          <w:rFonts w:eastAsia="仿宋_GB2312"/>
          <w:sz w:val="32"/>
          <w:szCs w:val="32"/>
        </w:rPr>
        <w:t>”</w:t>
      </w:r>
      <w:r>
        <w:rPr>
          <w:rFonts w:hAnsi="仿宋_GB2312" w:eastAsia="仿宋_GB2312"/>
          <w:sz w:val="32"/>
          <w:szCs w:val="32"/>
        </w:rPr>
        <w:t>全球跨境撮合服务平台，</w:t>
      </w:r>
      <w:r>
        <w:rPr>
          <w:rFonts w:hAnsi="仿宋_GB2312" w:eastAsia="仿宋_GB2312"/>
          <w:sz w:val="32"/>
          <w:szCs w:val="32"/>
          <w:shd w:val="clear" w:color="auto" w:fill="FFFFFF"/>
        </w:rPr>
        <w:t>支持企业</w:t>
      </w:r>
      <w:r>
        <w:rPr>
          <w:rFonts w:eastAsia="仿宋_GB2312"/>
          <w:sz w:val="32"/>
          <w:szCs w:val="32"/>
          <w:shd w:val="clear" w:color="auto" w:fill="FFFFFF"/>
        </w:rPr>
        <w:t>“</w:t>
      </w:r>
      <w:r>
        <w:rPr>
          <w:rFonts w:hAnsi="仿宋_GB2312" w:eastAsia="仿宋_GB2312"/>
          <w:sz w:val="32"/>
          <w:szCs w:val="32"/>
          <w:shd w:val="clear" w:color="auto" w:fill="FFFFFF"/>
        </w:rPr>
        <w:t>云参展</w:t>
      </w:r>
      <w:r>
        <w:rPr>
          <w:rFonts w:eastAsia="仿宋_GB2312"/>
          <w:sz w:val="32"/>
          <w:szCs w:val="32"/>
          <w:shd w:val="clear" w:color="auto" w:fill="FFFFFF"/>
        </w:rPr>
        <w:t>”“</w:t>
      </w:r>
      <w:r>
        <w:rPr>
          <w:rFonts w:hAnsi="仿宋_GB2312" w:eastAsia="仿宋_GB2312"/>
          <w:sz w:val="32"/>
          <w:szCs w:val="32"/>
          <w:shd w:val="clear" w:color="auto" w:fill="FFFFFF"/>
        </w:rPr>
        <w:t>云洽谈</w:t>
      </w:r>
      <w:r>
        <w:rPr>
          <w:rFonts w:eastAsia="仿宋_GB2312"/>
          <w:sz w:val="32"/>
          <w:szCs w:val="32"/>
          <w:shd w:val="clear" w:color="auto" w:fill="FFFFFF"/>
        </w:rPr>
        <w:t>”</w:t>
      </w:r>
      <w:r>
        <w:rPr>
          <w:rFonts w:hAnsi="仿宋_GB2312" w:eastAsia="仿宋_GB2312"/>
          <w:sz w:val="32"/>
          <w:szCs w:val="32"/>
          <w:shd w:val="clear" w:color="auto" w:fill="FFFFFF"/>
        </w:rPr>
        <w:t>，为中小企业开拓国际市场，实现精准全球贸易对接。持续培育一批省级跨境电商示范园区和示范企业，</w:t>
      </w:r>
      <w:r>
        <w:rPr>
          <w:rFonts w:hAnsi="仿宋_GB2312" w:eastAsia="仿宋_GB2312"/>
          <w:sz w:val="32"/>
          <w:szCs w:val="32"/>
        </w:rPr>
        <w:t>鼓励企业积极开拓国际市场，壮大外贸主体队伍建设，稳固龙头企业发展，保障外贸出口基本盘。</w:t>
      </w:r>
      <w:r>
        <w:rPr>
          <w:rFonts w:hAnsi="仿宋_GB2312" w:eastAsia="仿宋_GB2312"/>
          <w:sz w:val="32"/>
          <w:szCs w:val="32"/>
          <w:shd w:val="clear" w:color="auto" w:fill="FFFFFF"/>
        </w:rPr>
        <w:t>引导中小企业向重品牌、质量、标准、服务等转变，面向国家市场加快推出定制化、个性化商品，保障外贸产业链供应链畅通运转。（责任单位：市商务局、市人行忻州市中心支行、市金融办）</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sz w:val="32"/>
          <w:szCs w:val="32"/>
          <w:shd w:val="clear" w:color="auto" w:fill="FFFFFF"/>
        </w:rPr>
      </w:pPr>
      <w:r>
        <w:rPr>
          <w:rFonts w:eastAsia="楷体_GB2312"/>
          <w:sz w:val="32"/>
          <w:szCs w:val="32"/>
        </w:rPr>
        <w:t>23.</w:t>
      </w:r>
      <w:r>
        <w:rPr>
          <w:rFonts w:hAnsi="楷体_GB2312" w:eastAsia="楷体_GB2312"/>
          <w:sz w:val="32"/>
          <w:szCs w:val="32"/>
        </w:rPr>
        <w:t>提供高效通关服务。</w:t>
      </w:r>
      <w:r>
        <w:rPr>
          <w:rFonts w:hAnsi="仿宋_GB2312" w:eastAsia="仿宋_GB2312"/>
          <w:sz w:val="32"/>
          <w:szCs w:val="32"/>
        </w:rPr>
        <w:t>持续推进</w:t>
      </w:r>
      <w:r>
        <w:rPr>
          <w:rFonts w:eastAsia="仿宋_GB2312"/>
          <w:sz w:val="32"/>
          <w:szCs w:val="32"/>
        </w:rPr>
        <w:t>“</w:t>
      </w:r>
      <w:r>
        <w:rPr>
          <w:rFonts w:hAnsi="仿宋_GB2312" w:eastAsia="仿宋_GB2312"/>
          <w:sz w:val="32"/>
          <w:szCs w:val="32"/>
        </w:rPr>
        <w:t>减证便民</w:t>
      </w:r>
      <w:r>
        <w:rPr>
          <w:rFonts w:eastAsia="仿宋_GB2312"/>
          <w:sz w:val="32"/>
          <w:szCs w:val="32"/>
        </w:rPr>
        <w:t>”</w:t>
      </w:r>
      <w:r>
        <w:rPr>
          <w:rFonts w:hAnsi="仿宋_GB2312" w:eastAsia="仿宋_GB2312"/>
          <w:sz w:val="32"/>
          <w:szCs w:val="32"/>
        </w:rPr>
        <w:t>，优化行政审批环节，压缩行政审批时限，提升办理进度。推动企业在海关行政审批网上办理平台</w:t>
      </w:r>
      <w:r>
        <w:rPr>
          <w:rFonts w:eastAsia="仿宋_GB2312"/>
          <w:sz w:val="32"/>
          <w:szCs w:val="32"/>
        </w:rPr>
        <w:t>“</w:t>
      </w:r>
      <w:r>
        <w:rPr>
          <w:rFonts w:hAnsi="仿宋_GB2312" w:eastAsia="仿宋_GB2312"/>
          <w:sz w:val="32"/>
          <w:szCs w:val="32"/>
        </w:rPr>
        <w:t>一网通办</w:t>
      </w:r>
      <w:r>
        <w:rPr>
          <w:rFonts w:eastAsia="仿宋_GB2312"/>
          <w:sz w:val="32"/>
          <w:szCs w:val="32"/>
        </w:rPr>
        <w:t>”</w:t>
      </w:r>
      <w:r>
        <w:rPr>
          <w:rFonts w:hAnsi="仿宋_GB2312" w:eastAsia="仿宋_GB2312"/>
          <w:sz w:val="32"/>
          <w:szCs w:val="32"/>
        </w:rPr>
        <w:t>，加强口岸通关时间监测，持续巩固压缩货物整体通关时间成效，确保忻州海关进出口货物整体通关时间不高于太原关区及全国海关整体通关时效。分类推进</w:t>
      </w:r>
      <w:r>
        <w:rPr>
          <w:rFonts w:eastAsia="仿宋_GB2312"/>
          <w:sz w:val="32"/>
          <w:szCs w:val="32"/>
        </w:rPr>
        <w:t>“</w:t>
      </w:r>
      <w:r>
        <w:rPr>
          <w:rFonts w:hAnsi="仿宋_GB2312" w:eastAsia="仿宋_GB2312"/>
          <w:sz w:val="32"/>
          <w:szCs w:val="32"/>
        </w:rPr>
        <w:t>证照分离</w:t>
      </w:r>
      <w:r>
        <w:rPr>
          <w:rFonts w:eastAsia="仿宋_GB2312"/>
          <w:sz w:val="32"/>
          <w:szCs w:val="32"/>
        </w:rPr>
        <w:t>”</w:t>
      </w:r>
      <w:r>
        <w:rPr>
          <w:rFonts w:hAnsi="仿宋_GB2312" w:eastAsia="仿宋_GB2312"/>
          <w:sz w:val="32"/>
          <w:szCs w:val="32"/>
        </w:rPr>
        <w:t>改革。</w:t>
      </w:r>
      <w:r>
        <w:rPr>
          <w:rFonts w:hAnsi="仿宋_GB2312" w:eastAsia="仿宋_GB2312"/>
          <w:sz w:val="32"/>
          <w:szCs w:val="32"/>
          <w:shd w:val="clear" w:color="auto" w:fill="FFFFFF"/>
        </w:rPr>
        <w:t>加大国际贸易</w:t>
      </w:r>
      <w:r>
        <w:rPr>
          <w:rFonts w:eastAsia="仿宋_GB2312"/>
          <w:sz w:val="32"/>
          <w:szCs w:val="32"/>
          <w:shd w:val="clear" w:color="auto" w:fill="FFFFFF"/>
        </w:rPr>
        <w:t>“</w:t>
      </w:r>
      <w:r>
        <w:rPr>
          <w:rFonts w:hAnsi="仿宋_GB2312" w:eastAsia="仿宋_GB2312"/>
          <w:sz w:val="32"/>
          <w:szCs w:val="32"/>
          <w:shd w:val="clear" w:color="auto" w:fill="FFFFFF"/>
        </w:rPr>
        <w:t>单一窗口</w:t>
      </w:r>
      <w:r>
        <w:rPr>
          <w:rFonts w:eastAsia="仿宋_GB2312"/>
          <w:sz w:val="32"/>
          <w:szCs w:val="32"/>
          <w:shd w:val="clear" w:color="auto" w:fill="FFFFFF"/>
        </w:rPr>
        <w:t>”</w:t>
      </w:r>
      <w:r>
        <w:rPr>
          <w:rFonts w:hAnsi="仿宋_GB2312" w:eastAsia="仿宋_GB2312"/>
          <w:sz w:val="32"/>
          <w:szCs w:val="32"/>
          <w:shd w:val="clear" w:color="auto" w:fill="FFFFFF"/>
        </w:rPr>
        <w:t>（国家标准版）宣传和推广力度，提升贸易便利化水平。（责任单位：忻州海关、市商务局）</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黑体"/>
          <w:sz w:val="32"/>
          <w:szCs w:val="32"/>
        </w:rPr>
      </w:pPr>
      <w:r>
        <w:rPr>
          <w:rFonts w:hAnsi="黑体" w:eastAsia="黑体"/>
          <w:sz w:val="32"/>
          <w:szCs w:val="32"/>
        </w:rPr>
        <w:t>九、推动中小企业创新发展</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sz w:val="32"/>
          <w:szCs w:val="32"/>
        </w:rPr>
      </w:pPr>
      <w:r>
        <w:rPr>
          <w:rFonts w:eastAsia="楷体_GB2312"/>
          <w:sz w:val="32"/>
          <w:szCs w:val="32"/>
        </w:rPr>
        <w:t>24.</w:t>
      </w:r>
      <w:r>
        <w:rPr>
          <w:rFonts w:hAnsi="楷体_GB2312" w:eastAsia="楷体_GB2312"/>
          <w:sz w:val="32"/>
          <w:szCs w:val="32"/>
        </w:rPr>
        <w:t>鼓励中小企业走</w:t>
      </w:r>
      <w:r>
        <w:rPr>
          <w:rFonts w:eastAsia="楷体_GB2312"/>
          <w:sz w:val="32"/>
          <w:szCs w:val="32"/>
        </w:rPr>
        <w:t>“</w:t>
      </w:r>
      <w:r>
        <w:rPr>
          <w:rFonts w:hAnsi="楷体_GB2312" w:eastAsia="楷体_GB2312"/>
          <w:sz w:val="32"/>
          <w:szCs w:val="32"/>
        </w:rPr>
        <w:t>专精特新</w:t>
      </w:r>
      <w:r>
        <w:rPr>
          <w:rFonts w:eastAsia="楷体_GB2312"/>
          <w:sz w:val="32"/>
          <w:szCs w:val="32"/>
        </w:rPr>
        <w:t>”</w:t>
      </w:r>
      <w:r>
        <w:rPr>
          <w:rFonts w:hAnsi="楷体_GB2312" w:eastAsia="楷体_GB2312"/>
          <w:sz w:val="32"/>
          <w:szCs w:val="32"/>
        </w:rPr>
        <w:t>发展道路。</w:t>
      </w:r>
      <w:r>
        <w:rPr>
          <w:rFonts w:hAnsi="仿宋_GB2312" w:eastAsia="仿宋_GB2312"/>
          <w:sz w:val="32"/>
          <w:szCs w:val="32"/>
        </w:rPr>
        <w:t>构建</w:t>
      </w:r>
      <w:r>
        <w:rPr>
          <w:rFonts w:eastAsia="仿宋_GB2312"/>
          <w:sz w:val="32"/>
          <w:szCs w:val="32"/>
        </w:rPr>
        <w:t>“</w:t>
      </w:r>
      <w:r>
        <w:rPr>
          <w:rFonts w:hAnsi="仿宋_GB2312" w:eastAsia="仿宋_GB2312"/>
          <w:sz w:val="32"/>
          <w:szCs w:val="32"/>
        </w:rPr>
        <w:t>专精特新</w:t>
      </w:r>
      <w:r>
        <w:rPr>
          <w:rFonts w:eastAsia="仿宋_GB2312"/>
          <w:sz w:val="32"/>
          <w:szCs w:val="32"/>
        </w:rPr>
        <w:t>”</w:t>
      </w:r>
      <w:r>
        <w:rPr>
          <w:rFonts w:hAnsi="仿宋_GB2312" w:eastAsia="仿宋_GB2312"/>
          <w:sz w:val="32"/>
          <w:szCs w:val="32"/>
        </w:rPr>
        <w:t>梯次培育体系，完善</w:t>
      </w:r>
      <w:r>
        <w:rPr>
          <w:rFonts w:eastAsia="仿宋_GB2312"/>
          <w:sz w:val="32"/>
          <w:szCs w:val="32"/>
        </w:rPr>
        <w:t>“</w:t>
      </w:r>
      <w:r>
        <w:rPr>
          <w:rFonts w:hAnsi="仿宋_GB2312" w:eastAsia="仿宋_GB2312"/>
          <w:sz w:val="32"/>
          <w:szCs w:val="32"/>
        </w:rPr>
        <w:t>专精特新</w:t>
      </w:r>
      <w:r>
        <w:rPr>
          <w:rFonts w:eastAsia="仿宋_GB2312"/>
          <w:sz w:val="32"/>
          <w:szCs w:val="32"/>
        </w:rPr>
        <w:t>”</w:t>
      </w:r>
      <w:r>
        <w:rPr>
          <w:rFonts w:hAnsi="仿宋_GB2312" w:eastAsia="仿宋_GB2312"/>
          <w:sz w:val="32"/>
          <w:szCs w:val="32"/>
        </w:rPr>
        <w:t>企业培育库，坚持精准辅导，补齐短板弱项，提升培育实效，引导中小企业以</w:t>
      </w:r>
      <w:r>
        <w:rPr>
          <w:rFonts w:eastAsia="仿宋_GB2312"/>
          <w:sz w:val="32"/>
          <w:szCs w:val="32"/>
        </w:rPr>
        <w:t>“</w:t>
      </w:r>
      <w:r>
        <w:rPr>
          <w:rFonts w:hAnsi="仿宋_GB2312" w:eastAsia="仿宋_GB2312"/>
          <w:sz w:val="32"/>
          <w:szCs w:val="32"/>
        </w:rPr>
        <w:t>专精特新</w:t>
      </w:r>
      <w:r>
        <w:rPr>
          <w:rFonts w:eastAsia="仿宋_GB2312"/>
          <w:sz w:val="32"/>
          <w:szCs w:val="32"/>
        </w:rPr>
        <w:t>”</w:t>
      </w:r>
      <w:r>
        <w:rPr>
          <w:rFonts w:hAnsi="仿宋_GB2312" w:eastAsia="仿宋_GB2312"/>
          <w:sz w:val="32"/>
          <w:szCs w:val="32"/>
        </w:rPr>
        <w:t>为基础、</w:t>
      </w:r>
      <w:r>
        <w:rPr>
          <w:rFonts w:eastAsia="仿宋_GB2312"/>
          <w:sz w:val="32"/>
          <w:szCs w:val="32"/>
        </w:rPr>
        <w:t>“</w:t>
      </w:r>
      <w:r>
        <w:rPr>
          <w:rFonts w:hAnsi="仿宋_GB2312" w:eastAsia="仿宋_GB2312"/>
          <w:sz w:val="32"/>
          <w:szCs w:val="32"/>
        </w:rPr>
        <w:t>小升规</w:t>
      </w:r>
      <w:r>
        <w:rPr>
          <w:rFonts w:eastAsia="仿宋_GB2312"/>
          <w:sz w:val="32"/>
          <w:szCs w:val="32"/>
        </w:rPr>
        <w:t>”</w:t>
      </w:r>
      <w:r>
        <w:rPr>
          <w:rFonts w:hAnsi="仿宋_GB2312" w:eastAsia="仿宋_GB2312"/>
          <w:sz w:val="32"/>
          <w:szCs w:val="32"/>
        </w:rPr>
        <w:t>为路径、规范化股份制改造为提升的</w:t>
      </w:r>
      <w:r>
        <w:rPr>
          <w:rFonts w:eastAsia="仿宋_GB2312"/>
          <w:sz w:val="32"/>
          <w:szCs w:val="32"/>
        </w:rPr>
        <w:t>“</w:t>
      </w:r>
      <w:r>
        <w:rPr>
          <w:rFonts w:hAnsi="仿宋_GB2312" w:eastAsia="仿宋_GB2312"/>
          <w:sz w:val="32"/>
          <w:szCs w:val="32"/>
        </w:rPr>
        <w:t>三位一体</w:t>
      </w:r>
      <w:r>
        <w:rPr>
          <w:rFonts w:eastAsia="仿宋_GB2312"/>
          <w:sz w:val="32"/>
          <w:szCs w:val="32"/>
        </w:rPr>
        <w:t>”</w:t>
      </w:r>
      <w:r>
        <w:rPr>
          <w:rFonts w:hAnsi="仿宋_GB2312" w:eastAsia="仿宋_GB2312"/>
          <w:sz w:val="32"/>
          <w:szCs w:val="32"/>
        </w:rPr>
        <w:t>协同发展，激发企业高质量发展内生动力。（责任单位：市工信局）</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sz w:val="32"/>
          <w:szCs w:val="32"/>
        </w:rPr>
      </w:pPr>
      <w:r>
        <w:rPr>
          <w:rFonts w:eastAsia="楷体_GB2312"/>
          <w:sz w:val="32"/>
          <w:szCs w:val="32"/>
        </w:rPr>
        <w:t>25.</w:t>
      </w:r>
      <w:r>
        <w:rPr>
          <w:rFonts w:hAnsi="楷体_GB2312" w:eastAsia="楷体_GB2312"/>
          <w:sz w:val="32"/>
          <w:szCs w:val="32"/>
        </w:rPr>
        <w:t>发挥中小企业创新主体作用。</w:t>
      </w:r>
      <w:r>
        <w:rPr>
          <w:rFonts w:hAnsi="仿宋_GB2312" w:eastAsia="仿宋_GB2312"/>
          <w:sz w:val="32"/>
          <w:szCs w:val="32"/>
        </w:rPr>
        <w:t>鼓励支持中小企业提升创新能力，积极参与国家科技型中小企业入库评价，滚动实施高新技术企业倍增计划。鼓励我市</w:t>
      </w:r>
      <w:r>
        <w:rPr>
          <w:rFonts w:eastAsia="仿宋_GB2312"/>
          <w:sz w:val="32"/>
          <w:szCs w:val="32"/>
        </w:rPr>
        <w:t>“</w:t>
      </w:r>
      <w:r>
        <w:rPr>
          <w:rFonts w:hAnsi="仿宋_GB2312" w:eastAsia="仿宋_GB2312"/>
          <w:sz w:val="32"/>
          <w:szCs w:val="32"/>
        </w:rPr>
        <w:t>专精特新</w:t>
      </w:r>
      <w:r>
        <w:rPr>
          <w:rFonts w:eastAsia="仿宋_GB2312"/>
          <w:sz w:val="32"/>
          <w:szCs w:val="32"/>
        </w:rPr>
        <w:t>”</w:t>
      </w:r>
      <w:r>
        <w:rPr>
          <w:rFonts w:hAnsi="仿宋_GB2312" w:eastAsia="仿宋_GB2312"/>
          <w:sz w:val="32"/>
          <w:szCs w:val="32"/>
        </w:rPr>
        <w:t>中小企业开展技术改造、装备升级和生产线智能化新建、改造，积极组织重点企业和重点项目申报省级技改资金支持。支持</w:t>
      </w:r>
      <w:r>
        <w:rPr>
          <w:rFonts w:eastAsia="仿宋_GB2312"/>
          <w:sz w:val="32"/>
          <w:szCs w:val="32"/>
        </w:rPr>
        <w:t>“</w:t>
      </w:r>
      <w:r>
        <w:rPr>
          <w:rFonts w:hAnsi="仿宋_GB2312" w:eastAsia="仿宋_GB2312"/>
          <w:sz w:val="32"/>
          <w:szCs w:val="32"/>
        </w:rPr>
        <w:t>专精特新</w:t>
      </w:r>
      <w:r>
        <w:rPr>
          <w:rFonts w:eastAsia="仿宋_GB2312"/>
          <w:sz w:val="32"/>
          <w:szCs w:val="32"/>
        </w:rPr>
        <w:t>”</w:t>
      </w:r>
      <w:r>
        <w:rPr>
          <w:rFonts w:hAnsi="仿宋_GB2312" w:eastAsia="仿宋_GB2312"/>
          <w:sz w:val="32"/>
          <w:szCs w:val="32"/>
        </w:rPr>
        <w:t>中小企业争创省级技术创新中心、工匠工作室，采用新技术、新材料、新产品，参加</w:t>
      </w:r>
      <w:r>
        <w:rPr>
          <w:rFonts w:eastAsia="仿宋_GB2312"/>
          <w:sz w:val="32"/>
          <w:szCs w:val="32"/>
        </w:rPr>
        <w:t>“</w:t>
      </w:r>
      <w:r>
        <w:rPr>
          <w:rFonts w:hAnsi="仿宋_GB2312" w:eastAsia="仿宋_GB2312"/>
          <w:sz w:val="32"/>
          <w:szCs w:val="32"/>
        </w:rPr>
        <w:t>双创</w:t>
      </w:r>
      <w:r>
        <w:rPr>
          <w:rFonts w:eastAsia="仿宋_GB2312"/>
          <w:sz w:val="32"/>
          <w:szCs w:val="32"/>
        </w:rPr>
        <w:t>”</w:t>
      </w:r>
      <w:r>
        <w:rPr>
          <w:rFonts w:hAnsi="仿宋_GB2312" w:eastAsia="仿宋_GB2312"/>
          <w:sz w:val="32"/>
          <w:szCs w:val="32"/>
        </w:rPr>
        <w:t>大赛。（责任单位：市工信局、市科技局）</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color w:val="000000"/>
          <w:sz w:val="32"/>
          <w:szCs w:val="32"/>
        </w:rPr>
      </w:pPr>
      <w:r>
        <w:rPr>
          <w:rFonts w:eastAsia="楷体_GB2312"/>
          <w:sz w:val="32"/>
          <w:szCs w:val="32"/>
        </w:rPr>
        <w:t>26.</w:t>
      </w:r>
      <w:r>
        <w:rPr>
          <w:rFonts w:hAnsi="楷体_GB2312" w:eastAsia="楷体_GB2312"/>
          <w:sz w:val="32"/>
          <w:szCs w:val="32"/>
        </w:rPr>
        <w:t>强化知识产权与应用。</w:t>
      </w:r>
      <w:r>
        <w:rPr>
          <w:rFonts w:hAnsi="仿宋_GB2312" w:eastAsia="仿宋_GB2312"/>
          <w:sz w:val="32"/>
          <w:szCs w:val="32"/>
        </w:rPr>
        <w:t>继续推进山西省专利转化专项计划实施，引导企业积极申报；对通过知识产权交易，获得技术升级并申报</w:t>
      </w:r>
      <w:r>
        <w:rPr>
          <w:rFonts w:eastAsia="仿宋_GB2312"/>
          <w:sz w:val="32"/>
          <w:szCs w:val="32"/>
        </w:rPr>
        <w:t>“</w:t>
      </w:r>
      <w:r>
        <w:rPr>
          <w:rFonts w:hAnsi="仿宋_GB2312" w:eastAsia="仿宋_GB2312"/>
          <w:sz w:val="32"/>
          <w:szCs w:val="32"/>
        </w:rPr>
        <w:t>专精特新</w:t>
      </w:r>
      <w:r>
        <w:rPr>
          <w:rFonts w:eastAsia="仿宋_GB2312"/>
          <w:sz w:val="32"/>
          <w:szCs w:val="32"/>
        </w:rPr>
        <w:t>”</w:t>
      </w:r>
      <w:r>
        <w:rPr>
          <w:rFonts w:hAnsi="仿宋_GB2312" w:eastAsia="仿宋_GB2312"/>
          <w:sz w:val="32"/>
          <w:szCs w:val="32"/>
        </w:rPr>
        <w:t>企业、省级专精特新</w:t>
      </w:r>
      <w:r>
        <w:rPr>
          <w:rFonts w:eastAsia="仿宋_GB2312"/>
          <w:sz w:val="32"/>
          <w:szCs w:val="32"/>
        </w:rPr>
        <w:t>“</w:t>
      </w:r>
      <w:r>
        <w:rPr>
          <w:rFonts w:hAnsi="仿宋_GB2312" w:eastAsia="仿宋_GB2312"/>
          <w:sz w:val="32"/>
          <w:szCs w:val="32"/>
        </w:rPr>
        <w:t>小巨人</w:t>
      </w:r>
      <w:r>
        <w:rPr>
          <w:rFonts w:eastAsia="仿宋_GB2312"/>
          <w:sz w:val="32"/>
          <w:szCs w:val="32"/>
        </w:rPr>
        <w:t>”</w:t>
      </w:r>
      <w:r>
        <w:rPr>
          <w:rFonts w:hAnsi="仿宋_GB2312" w:eastAsia="仿宋_GB2312"/>
          <w:sz w:val="32"/>
          <w:szCs w:val="32"/>
        </w:rPr>
        <w:t>企业、国家级专精特新</w:t>
      </w:r>
      <w:r>
        <w:rPr>
          <w:rFonts w:eastAsia="仿宋_GB2312"/>
          <w:sz w:val="32"/>
          <w:szCs w:val="32"/>
        </w:rPr>
        <w:t>“</w:t>
      </w:r>
      <w:r>
        <w:rPr>
          <w:rFonts w:hAnsi="仿宋_GB2312" w:eastAsia="仿宋_GB2312"/>
          <w:sz w:val="32"/>
          <w:szCs w:val="32"/>
        </w:rPr>
        <w:t>小巨人</w:t>
      </w:r>
      <w:r>
        <w:rPr>
          <w:rFonts w:eastAsia="仿宋_GB2312"/>
          <w:sz w:val="32"/>
          <w:szCs w:val="32"/>
        </w:rPr>
        <w:t>”</w:t>
      </w:r>
      <w:r>
        <w:rPr>
          <w:rFonts w:hAnsi="仿宋_GB2312" w:eastAsia="仿宋_GB2312"/>
          <w:sz w:val="32"/>
          <w:szCs w:val="32"/>
        </w:rPr>
        <w:t>企业成功的，规下中小工业企业上规升级的，规上中小工业企业主营业务收入提升</w:t>
      </w:r>
      <w:r>
        <w:rPr>
          <w:rFonts w:eastAsia="仿宋_GB2312"/>
          <w:sz w:val="32"/>
          <w:szCs w:val="32"/>
        </w:rPr>
        <w:t>30%</w:t>
      </w:r>
      <w:r>
        <w:rPr>
          <w:rFonts w:hAnsi="仿宋_GB2312" w:eastAsia="仿宋_GB2312"/>
          <w:sz w:val="32"/>
          <w:szCs w:val="32"/>
        </w:rPr>
        <w:t>或利润率达到</w:t>
      </w:r>
      <w:r>
        <w:rPr>
          <w:rFonts w:eastAsia="仿宋_GB2312"/>
          <w:sz w:val="32"/>
          <w:szCs w:val="32"/>
        </w:rPr>
        <w:t>15%</w:t>
      </w:r>
      <w:r>
        <w:rPr>
          <w:rFonts w:hAnsi="仿宋_GB2312" w:eastAsia="仿宋_GB2312"/>
          <w:sz w:val="32"/>
          <w:szCs w:val="32"/>
        </w:rPr>
        <w:t>以上等的交易买方，在省级奖励的基础上，市级再给予一定奖励。</w:t>
      </w:r>
      <w:r>
        <w:rPr>
          <w:rFonts w:hAnsi="仿宋_GB2312" w:eastAsia="仿宋_GB2312"/>
          <w:color w:val="000000"/>
          <w:sz w:val="32"/>
          <w:szCs w:val="32"/>
        </w:rPr>
        <w:t>鼓励支持知识产权服务机构开展知识产权评估，引导银行、保险、担保、评估等机构加强合作，推动知识产权质押融资。（责任单位：市财政局、市工信局、市市场监督局、市金融办、人行忻州市中心支行、忻州银保监分局）</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color w:val="000000"/>
          <w:sz w:val="32"/>
          <w:szCs w:val="32"/>
        </w:rPr>
      </w:pPr>
      <w:r>
        <w:rPr>
          <w:rFonts w:eastAsia="楷体_GB2312"/>
          <w:sz w:val="32"/>
          <w:szCs w:val="32"/>
        </w:rPr>
        <w:t>27.</w:t>
      </w:r>
      <w:r>
        <w:rPr>
          <w:rFonts w:hAnsi="楷体_GB2312" w:eastAsia="楷体_GB2312"/>
          <w:sz w:val="32"/>
          <w:szCs w:val="32"/>
        </w:rPr>
        <w:t>推动联合研发和科技成果转化。</w:t>
      </w:r>
      <w:r>
        <w:rPr>
          <w:rFonts w:hAnsi="仿宋_GB2312" w:eastAsia="仿宋_GB2312"/>
          <w:color w:val="000000"/>
          <w:sz w:val="32"/>
          <w:szCs w:val="32"/>
        </w:rPr>
        <w:t>面向中小企业征集研发需求目录，向高等学校和研发机构发布，搭建企校、企园合作平台，组织开展技术供需对接活动，推动中小企业与高校进行产学研合作，联合开展关键技术研发，加速高校科技成果在中小企业转化落地。推送高校向中小企业开放技术、人才、科研数据、支持中小企业培育自主知识产权、自主品牌，提升创新能力。（责任单位：市工信局、市教育局）</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sz w:val="32"/>
          <w:szCs w:val="32"/>
        </w:rPr>
      </w:pPr>
      <w:r>
        <w:rPr>
          <w:rFonts w:eastAsia="楷体_GB2312"/>
          <w:sz w:val="32"/>
          <w:szCs w:val="32"/>
        </w:rPr>
        <w:t>28.</w:t>
      </w:r>
      <w:r>
        <w:rPr>
          <w:rFonts w:hAnsi="楷体_GB2312" w:eastAsia="楷体_GB2312"/>
          <w:sz w:val="32"/>
          <w:szCs w:val="32"/>
        </w:rPr>
        <w:t>加强产业协同配套服务。</w:t>
      </w:r>
      <w:r>
        <w:rPr>
          <w:rFonts w:hAnsi="仿宋_GB2312" w:eastAsia="仿宋_GB2312"/>
          <w:sz w:val="32"/>
          <w:szCs w:val="32"/>
        </w:rPr>
        <w:t>不断优化中小企业创业创新环境，改善设施和条件，吸引创新型中小企业集聚发展。</w:t>
      </w:r>
      <w:r>
        <w:rPr>
          <w:rFonts w:hAnsi="仿宋_GB2312" w:eastAsia="仿宋_GB2312"/>
          <w:kern w:val="0"/>
          <w:sz w:val="32"/>
          <w:szCs w:val="32"/>
        </w:rPr>
        <w:t>以经济开发区为依托，</w:t>
      </w:r>
      <w:r>
        <w:rPr>
          <w:rFonts w:hAnsi="仿宋_GB2312" w:eastAsia="仿宋_GB2312"/>
          <w:sz w:val="32"/>
          <w:szCs w:val="32"/>
        </w:rPr>
        <w:t>积极组织开展小微企业双创基地梯度培育和认定工作。推进区域创新服务平台建设</w:t>
      </w:r>
      <w:r>
        <w:rPr>
          <w:rFonts w:eastAsia="仿宋_GB2312"/>
          <w:sz w:val="32"/>
          <w:szCs w:val="32"/>
        </w:rPr>
        <w:t>,</w:t>
      </w:r>
      <w:r>
        <w:rPr>
          <w:rFonts w:hAnsi="仿宋_GB2312" w:eastAsia="仿宋_GB2312"/>
          <w:sz w:val="32"/>
          <w:szCs w:val="32"/>
        </w:rPr>
        <w:t>鼓励和支持省级开发区打造大中小企业融通型创新创业特色载体，支持开发区提升龙头企业协同带动中小企业发展能力，促进中小企业专业化高质量发展。（责任单位：市工信局）</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b/>
          <w:bCs/>
          <w:sz w:val="32"/>
          <w:szCs w:val="32"/>
        </w:rPr>
      </w:pPr>
      <w:r>
        <w:rPr>
          <w:rFonts w:eastAsia="楷体_GB2312"/>
          <w:sz w:val="32"/>
          <w:szCs w:val="32"/>
        </w:rPr>
        <w:t>29.</w:t>
      </w:r>
      <w:r>
        <w:rPr>
          <w:rFonts w:hAnsi="楷体_GB2312" w:eastAsia="楷体_GB2312"/>
          <w:sz w:val="32"/>
          <w:szCs w:val="32"/>
        </w:rPr>
        <w:t>加强数字化节能赋能服务。</w:t>
      </w:r>
      <w:r>
        <w:rPr>
          <w:rFonts w:hAnsi="仿宋_GB2312" w:eastAsia="仿宋_GB2312"/>
          <w:sz w:val="32"/>
          <w:szCs w:val="32"/>
        </w:rPr>
        <w:t>组织中小企业积极参与公益性节能诊断活动，联合金融机构为中小企业提供绿色金融服务，提升中小企业的绿色发展能力和市场竞争力。（责任单位：市工信局）</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color w:val="000000"/>
          <w:sz w:val="32"/>
          <w:szCs w:val="32"/>
        </w:rPr>
      </w:pPr>
      <w:r>
        <w:rPr>
          <w:rFonts w:eastAsia="楷体_GB2312"/>
          <w:sz w:val="32"/>
          <w:szCs w:val="32"/>
        </w:rPr>
        <w:t>30.</w:t>
      </w:r>
      <w:r>
        <w:rPr>
          <w:rFonts w:hAnsi="楷体_GB2312" w:eastAsia="楷体_GB2312"/>
          <w:sz w:val="32"/>
          <w:szCs w:val="32"/>
        </w:rPr>
        <w:t>增强中小企业发展能力。</w:t>
      </w:r>
      <w:r>
        <w:rPr>
          <w:rFonts w:hAnsi="仿宋_GB2312" w:eastAsia="仿宋_GB2312"/>
          <w:color w:val="000000"/>
          <w:sz w:val="32"/>
          <w:szCs w:val="32"/>
        </w:rPr>
        <w:t>将中小企业纳入质量基础设施</w:t>
      </w:r>
      <w:r>
        <w:rPr>
          <w:rFonts w:eastAsia="仿宋_GB2312"/>
          <w:color w:val="000000"/>
          <w:sz w:val="32"/>
          <w:szCs w:val="32"/>
        </w:rPr>
        <w:t>“</w:t>
      </w:r>
      <w:r>
        <w:rPr>
          <w:rFonts w:hAnsi="仿宋_GB2312" w:eastAsia="仿宋_GB2312"/>
          <w:color w:val="000000"/>
          <w:sz w:val="32"/>
          <w:szCs w:val="32"/>
        </w:rPr>
        <w:t>一站式</w:t>
      </w:r>
      <w:r>
        <w:rPr>
          <w:rFonts w:eastAsia="仿宋_GB2312"/>
          <w:color w:val="000000"/>
          <w:sz w:val="32"/>
          <w:szCs w:val="32"/>
        </w:rPr>
        <w:t>”</w:t>
      </w:r>
      <w:r>
        <w:rPr>
          <w:rFonts w:hAnsi="仿宋_GB2312" w:eastAsia="仿宋_GB2312"/>
          <w:color w:val="000000"/>
          <w:sz w:val="32"/>
          <w:szCs w:val="32"/>
        </w:rPr>
        <w:t>服务对象，提供专家咨询和帮扶服务。组织技术专家开展质量技术帮扶，针对监督抽查、风险监测、监督检查发现的问题企业，组织行业专家开展零距离质量诊断服务，查找产品质量问题症结，针对性提供解决方案，提升产品质量水平。（责任单位：市市场监管局）</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color w:val="000000"/>
          <w:sz w:val="32"/>
          <w:szCs w:val="32"/>
        </w:rPr>
      </w:pPr>
      <w:r>
        <w:rPr>
          <w:rFonts w:eastAsia="楷体_GB2312"/>
          <w:sz w:val="32"/>
          <w:szCs w:val="32"/>
        </w:rPr>
        <w:t>31.</w:t>
      </w:r>
      <w:r>
        <w:rPr>
          <w:rFonts w:hAnsi="楷体_GB2312" w:eastAsia="楷体_GB2312"/>
          <w:sz w:val="32"/>
          <w:szCs w:val="32"/>
        </w:rPr>
        <w:t>提升企业家创新能力素质。</w:t>
      </w:r>
      <w:r>
        <w:rPr>
          <w:rFonts w:hAnsi="仿宋_GB2312" w:eastAsia="仿宋_GB2312"/>
          <w:color w:val="000000"/>
          <w:sz w:val="32"/>
          <w:szCs w:val="32"/>
        </w:rPr>
        <w:t>加强企业家队伍建设，</w:t>
      </w:r>
      <w:r>
        <w:rPr>
          <w:rFonts w:hAnsi="仿宋_GB2312" w:eastAsia="仿宋_GB2312"/>
          <w:sz w:val="32"/>
          <w:szCs w:val="32"/>
        </w:rPr>
        <w:t>实施企业家能力素质提升工程，组织优秀企业家参加中小企业董事长、总经理培训班，参加中小企业领军人才培训班，全面提升企业家创新发展能力、资本运作能力、现代管理能力、市场开拓能力。</w:t>
      </w:r>
      <w:r>
        <w:rPr>
          <w:rFonts w:hint="eastAsia" w:eastAsia="仿宋_GB2312"/>
          <w:color w:val="000000"/>
          <w:sz w:val="32"/>
          <w:szCs w:val="32"/>
        </w:rPr>
        <w:t>（</w:t>
      </w:r>
      <w:r>
        <w:rPr>
          <w:rFonts w:hAnsi="仿宋_GB2312" w:eastAsia="仿宋_GB2312"/>
          <w:color w:val="000000"/>
          <w:sz w:val="32"/>
          <w:szCs w:val="32"/>
        </w:rPr>
        <w:t>责任单位</w:t>
      </w:r>
      <w:r>
        <w:rPr>
          <w:rFonts w:hint="eastAsia" w:eastAsia="仿宋_GB2312"/>
          <w:color w:val="000000"/>
          <w:sz w:val="32"/>
          <w:szCs w:val="32"/>
        </w:rPr>
        <w:t>：</w:t>
      </w:r>
      <w:r>
        <w:rPr>
          <w:rFonts w:hAnsi="仿宋_GB2312" w:eastAsia="仿宋_GB2312"/>
          <w:color w:val="000000"/>
          <w:sz w:val="32"/>
          <w:szCs w:val="32"/>
        </w:rPr>
        <w:t>市工信局、市工商联</w:t>
      </w:r>
      <w:r>
        <w:rPr>
          <w:rFonts w:hint="eastAsia" w:eastAsia="仿宋_GB2312"/>
          <w:color w:val="000000"/>
          <w:sz w:val="32"/>
          <w:szCs w:val="32"/>
        </w:rPr>
        <w:t>）</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黑体"/>
          <w:color w:val="000000"/>
          <w:sz w:val="32"/>
          <w:szCs w:val="32"/>
        </w:rPr>
      </w:pPr>
      <w:r>
        <w:rPr>
          <w:rFonts w:hAnsi="黑体" w:eastAsia="黑体"/>
          <w:color w:val="000000"/>
          <w:sz w:val="32"/>
          <w:szCs w:val="32"/>
        </w:rPr>
        <w:t>十、巩固提升帮扶措施</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color w:val="000000"/>
          <w:sz w:val="32"/>
          <w:szCs w:val="32"/>
        </w:rPr>
      </w:pPr>
      <w:r>
        <w:rPr>
          <w:rFonts w:eastAsia="楷体_GB2312"/>
          <w:sz w:val="32"/>
          <w:szCs w:val="32"/>
        </w:rPr>
        <w:t>32.</w:t>
      </w:r>
      <w:r>
        <w:rPr>
          <w:rFonts w:hAnsi="楷体_GB2312" w:eastAsia="楷体_GB2312"/>
          <w:sz w:val="32"/>
          <w:szCs w:val="32"/>
        </w:rPr>
        <w:t>强化统筹协调推进。</w:t>
      </w:r>
      <w:r>
        <w:rPr>
          <w:rFonts w:hAnsi="仿宋_GB2312" w:eastAsia="仿宋_GB2312"/>
          <w:sz w:val="32"/>
          <w:szCs w:val="32"/>
        </w:rPr>
        <w:t>充分发挥市促进中小企业发展工作领导小组的作用，强化组织领导、统筹协调、监督指导。加强政策宣传和工作指导，形成合力，推动中小企业发展各项目标任务落实到位。</w:t>
      </w:r>
      <w:r>
        <w:rPr>
          <w:rFonts w:hAnsi="仿宋_GB2312" w:eastAsia="仿宋_GB2312"/>
          <w:color w:val="000000"/>
          <w:sz w:val="32"/>
          <w:szCs w:val="32"/>
        </w:rPr>
        <w:t>统筹推进各县（市、区）、各有关部门进一步细化纾困举措</w:t>
      </w:r>
      <w:r>
        <w:rPr>
          <w:rFonts w:hint="eastAsia" w:eastAsia="仿宋_GB2312"/>
          <w:color w:val="000000"/>
          <w:sz w:val="32"/>
          <w:szCs w:val="32"/>
        </w:rPr>
        <w:t>，</w:t>
      </w:r>
      <w:r>
        <w:rPr>
          <w:rFonts w:hAnsi="仿宋_GB2312" w:eastAsia="仿宋_GB2312"/>
          <w:color w:val="000000"/>
          <w:sz w:val="32"/>
          <w:szCs w:val="32"/>
        </w:rPr>
        <w:t>制定针对性措施。</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sz w:val="32"/>
          <w:szCs w:val="32"/>
        </w:rPr>
      </w:pPr>
      <w:r>
        <w:rPr>
          <w:rFonts w:eastAsia="楷体_GB2312"/>
          <w:sz w:val="32"/>
          <w:szCs w:val="32"/>
        </w:rPr>
        <w:t>33.</w:t>
      </w:r>
      <w:r>
        <w:rPr>
          <w:rFonts w:hAnsi="楷体_GB2312" w:eastAsia="楷体_GB2312"/>
          <w:sz w:val="32"/>
          <w:szCs w:val="32"/>
        </w:rPr>
        <w:t>畅通诉求反馈通道。</w:t>
      </w:r>
      <w:r>
        <w:rPr>
          <w:rFonts w:hAnsi="仿宋_GB2312" w:eastAsia="仿宋_GB2312"/>
          <w:sz w:val="32"/>
          <w:szCs w:val="32"/>
        </w:rPr>
        <w:t>聚焦市场主体关切，破解中小企业生产经营中的堵点痛点，强化为市场主体服务。依托</w:t>
      </w:r>
      <w:r>
        <w:rPr>
          <w:rFonts w:eastAsia="仿宋_GB2312"/>
          <w:sz w:val="32"/>
          <w:szCs w:val="32"/>
        </w:rPr>
        <w:t>“13710”</w:t>
      </w:r>
      <w:r>
        <w:rPr>
          <w:rFonts w:hAnsi="仿宋_GB2312" w:eastAsia="仿宋_GB2312"/>
          <w:sz w:val="32"/>
          <w:szCs w:val="32"/>
        </w:rPr>
        <w:t>信息督办平台、</w:t>
      </w:r>
      <w:r>
        <w:rPr>
          <w:rFonts w:eastAsia="仿宋_GB2312"/>
          <w:sz w:val="32"/>
          <w:szCs w:val="32"/>
        </w:rPr>
        <w:t>“12345”</w:t>
      </w:r>
      <w:r>
        <w:rPr>
          <w:rFonts w:hAnsi="仿宋_GB2312" w:eastAsia="仿宋_GB2312"/>
          <w:sz w:val="32"/>
          <w:szCs w:val="32"/>
        </w:rPr>
        <w:t>政务服务热线、中小企业公共服务平台开展服务企业常态化工作。</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sz w:val="32"/>
          <w:szCs w:val="32"/>
        </w:rPr>
      </w:pPr>
      <w:r>
        <w:rPr>
          <w:rFonts w:eastAsia="楷体_GB2312"/>
          <w:sz w:val="32"/>
          <w:szCs w:val="32"/>
        </w:rPr>
        <w:t>34.</w:t>
      </w:r>
      <w:r>
        <w:rPr>
          <w:rFonts w:hAnsi="楷体_GB2312" w:eastAsia="楷体_GB2312"/>
          <w:sz w:val="32"/>
          <w:szCs w:val="32"/>
        </w:rPr>
        <w:t>加强企业运行监测。</w:t>
      </w:r>
      <w:r>
        <w:rPr>
          <w:rFonts w:hAnsi="仿宋_GB2312" w:eastAsia="仿宋_GB2312"/>
          <w:sz w:val="32"/>
          <w:szCs w:val="32"/>
        </w:rPr>
        <w:t>通过山西省中小企业一站式综合服务平台，全面开展中小企业生产经营问卷调查工作，强化运行监测和信息报送，提高监测数据报送质量，及时掌握中小企业经营状况，提高监测分析水平。</w:t>
      </w:r>
    </w:p>
    <w:p>
      <w:pPr>
        <w:pBdr>
          <w:top w:val="none" w:color="000000" w:sz="0" w:space="0"/>
          <w:left w:val="none" w:color="000000" w:sz="0" w:space="0"/>
          <w:bottom w:val="none" w:color="000000" w:sz="0" w:space="19"/>
          <w:right w:val="none" w:color="000000" w:sz="0" w:space="0"/>
        </w:pBdr>
        <w:autoSpaceDE w:val="0"/>
        <w:autoSpaceDN w:val="0"/>
        <w:adjustRightInd w:val="0"/>
        <w:snapToGrid w:val="0"/>
        <w:spacing w:line="560" w:lineRule="exact"/>
        <w:ind w:firstLine="640" w:firstLineChars="200"/>
        <w:rPr>
          <w:rFonts w:eastAsia="仿宋_GB2312"/>
          <w:sz w:val="32"/>
          <w:szCs w:val="32"/>
        </w:rPr>
      </w:pPr>
      <w:r>
        <w:rPr>
          <w:rFonts w:eastAsia="楷体_GB2312"/>
          <w:sz w:val="32"/>
          <w:szCs w:val="32"/>
        </w:rPr>
        <w:t>35.</w:t>
      </w:r>
      <w:r>
        <w:rPr>
          <w:rFonts w:hAnsi="楷体_GB2312" w:eastAsia="楷体_GB2312"/>
          <w:sz w:val="32"/>
          <w:szCs w:val="32"/>
        </w:rPr>
        <w:t>加大指导帮扶力度。</w:t>
      </w:r>
      <w:r>
        <w:rPr>
          <w:rFonts w:hAnsi="仿宋_GB2312" w:eastAsia="仿宋_GB2312"/>
          <w:color w:val="000000"/>
          <w:sz w:val="32"/>
          <w:szCs w:val="32"/>
        </w:rPr>
        <w:t>各县（市、区）、各有关部门要加强对中小企业纾困帮扶工作的调研</w:t>
      </w:r>
      <w:r>
        <w:rPr>
          <w:rFonts w:hint="eastAsia" w:eastAsia="仿宋_GB2312"/>
          <w:color w:val="000000"/>
          <w:sz w:val="32"/>
          <w:szCs w:val="32"/>
        </w:rPr>
        <w:t>，</w:t>
      </w:r>
      <w:r>
        <w:rPr>
          <w:rFonts w:hAnsi="仿宋_GB2312" w:eastAsia="仿宋_GB2312"/>
          <w:color w:val="000000"/>
          <w:sz w:val="32"/>
          <w:szCs w:val="32"/>
        </w:rPr>
        <w:t>总结经验做法</w:t>
      </w:r>
      <w:r>
        <w:rPr>
          <w:rFonts w:hint="eastAsia" w:eastAsia="仿宋_GB2312"/>
          <w:color w:val="000000"/>
          <w:sz w:val="32"/>
          <w:szCs w:val="32"/>
        </w:rPr>
        <w:t>，</w:t>
      </w:r>
      <w:r>
        <w:rPr>
          <w:rFonts w:hAnsi="仿宋_GB2312" w:eastAsia="仿宋_GB2312"/>
          <w:color w:val="000000"/>
          <w:sz w:val="32"/>
          <w:szCs w:val="32"/>
        </w:rPr>
        <w:t>加强政策储备</w:t>
      </w:r>
      <w:r>
        <w:rPr>
          <w:rFonts w:hint="eastAsia" w:eastAsia="仿宋_GB2312"/>
          <w:color w:val="000000"/>
          <w:sz w:val="32"/>
          <w:szCs w:val="32"/>
        </w:rPr>
        <w:t>，</w:t>
      </w:r>
      <w:r>
        <w:rPr>
          <w:rFonts w:hAnsi="仿宋_GB2312" w:eastAsia="仿宋_GB2312"/>
          <w:color w:val="000000"/>
          <w:sz w:val="32"/>
          <w:szCs w:val="32"/>
        </w:rPr>
        <w:t>适时推动出台；市有关单位要加大对各县（市、区）的指导支持力度</w:t>
      </w:r>
      <w:r>
        <w:rPr>
          <w:rFonts w:hint="eastAsia" w:eastAsia="仿宋_GB2312"/>
          <w:color w:val="000000"/>
          <w:sz w:val="32"/>
          <w:szCs w:val="32"/>
        </w:rPr>
        <w:t>，</w:t>
      </w:r>
      <w:r>
        <w:rPr>
          <w:rFonts w:hAnsi="仿宋_GB2312" w:eastAsia="仿宋_GB2312"/>
          <w:color w:val="000000"/>
          <w:sz w:val="32"/>
          <w:szCs w:val="32"/>
        </w:rPr>
        <w:t>扎实推动各项政策措施落地见效</w:t>
      </w:r>
      <w:r>
        <w:rPr>
          <w:rFonts w:hint="eastAsia" w:eastAsia="仿宋_GB2312"/>
          <w:color w:val="000000"/>
          <w:sz w:val="32"/>
          <w:szCs w:val="32"/>
        </w:rPr>
        <w:t>，</w:t>
      </w:r>
      <w:r>
        <w:rPr>
          <w:rFonts w:hAnsi="仿宋_GB2312" w:eastAsia="仿宋_GB2312"/>
          <w:color w:val="000000"/>
          <w:sz w:val="32"/>
          <w:szCs w:val="32"/>
        </w:rPr>
        <w:t>同时要将每季度落实情况报送市促进中小企业发展工作领导小组</w:t>
      </w:r>
      <w:r>
        <w:rPr>
          <w:rFonts w:hAnsi="仿宋_GB2312" w:eastAsia="仿宋_GB2312"/>
          <w:sz w:val="32"/>
          <w:szCs w:val="32"/>
        </w:rPr>
        <w:t>办公室</w:t>
      </w:r>
      <w:r>
        <w:rPr>
          <w:rFonts w:hint="eastAsia" w:eastAsia="仿宋_GB2312"/>
          <w:color w:val="000000"/>
          <w:sz w:val="32"/>
          <w:szCs w:val="32"/>
        </w:rPr>
        <w:t>（</w:t>
      </w:r>
      <w:r>
        <w:rPr>
          <w:rFonts w:hAnsi="仿宋_GB2312" w:eastAsia="仿宋_GB2312"/>
          <w:color w:val="000000"/>
          <w:sz w:val="32"/>
          <w:szCs w:val="32"/>
        </w:rPr>
        <w:t>市工信局</w:t>
      </w:r>
      <w:r>
        <w:rPr>
          <w:rFonts w:hint="eastAsia" w:eastAsia="仿宋_GB2312"/>
          <w:color w:val="000000"/>
          <w:sz w:val="32"/>
          <w:szCs w:val="32"/>
        </w:rPr>
        <w:t>）</w:t>
      </w:r>
      <w:r>
        <w:rPr>
          <w:rFonts w:hAnsi="仿宋_GB2312" w:eastAsia="仿宋_GB2312"/>
          <w:color w:val="000000"/>
          <w:sz w:val="32"/>
          <w:szCs w:val="32"/>
        </w:rPr>
        <w:t>。</w:t>
      </w:r>
    </w:p>
    <w:p>
      <w:pPr>
        <w:spacing w:line="560" w:lineRule="exact"/>
        <w:ind w:firstLine="630"/>
        <w:rPr>
          <w:rFonts w:eastAsia="仿宋_GB2312"/>
          <w:kern w:val="0"/>
          <w:sz w:val="32"/>
          <w:szCs w:val="32"/>
        </w:rPr>
      </w:pPr>
    </w:p>
    <w:p>
      <w:pPr>
        <w:spacing w:line="560" w:lineRule="exact"/>
        <w:ind w:firstLine="630"/>
        <w:rPr>
          <w:rFonts w:eastAsia="仿宋_GB2312"/>
          <w:kern w:val="0"/>
          <w:sz w:val="32"/>
          <w:szCs w:val="32"/>
        </w:rPr>
      </w:pPr>
    </w:p>
    <w:p>
      <w:pPr>
        <w:spacing w:line="560" w:lineRule="exact"/>
        <w:ind w:firstLine="630"/>
        <w:rPr>
          <w:rFonts w:eastAsia="仿宋_GB2312"/>
          <w:kern w:val="0"/>
          <w:sz w:val="32"/>
          <w:szCs w:val="32"/>
        </w:rPr>
      </w:pPr>
    </w:p>
    <w:p>
      <w:pPr>
        <w:spacing w:line="560" w:lineRule="exact"/>
        <w:ind w:firstLine="630"/>
        <w:rPr>
          <w:rFonts w:eastAsia="仿宋_GB2312"/>
          <w:kern w:val="0"/>
          <w:sz w:val="32"/>
          <w:szCs w:val="32"/>
        </w:rPr>
      </w:pPr>
    </w:p>
    <w:p>
      <w:pPr>
        <w:spacing w:line="560" w:lineRule="exact"/>
        <w:ind w:firstLine="630"/>
        <w:rPr>
          <w:rFonts w:eastAsia="仿宋_GB2312"/>
          <w:kern w:val="0"/>
          <w:sz w:val="32"/>
          <w:szCs w:val="32"/>
        </w:rPr>
      </w:pPr>
    </w:p>
    <w:p>
      <w:pPr>
        <w:spacing w:line="560" w:lineRule="exact"/>
        <w:ind w:firstLine="630"/>
        <w:rPr>
          <w:rFonts w:eastAsia="仿宋_GB2312"/>
          <w:kern w:val="0"/>
          <w:sz w:val="32"/>
          <w:szCs w:val="32"/>
        </w:rPr>
      </w:pPr>
    </w:p>
    <w:p>
      <w:pPr>
        <w:spacing w:line="560" w:lineRule="exact"/>
        <w:ind w:firstLine="630"/>
        <w:rPr>
          <w:rFonts w:eastAsia="仿宋_GB2312"/>
          <w:kern w:val="0"/>
          <w:sz w:val="32"/>
          <w:szCs w:val="32"/>
        </w:rPr>
      </w:pPr>
    </w:p>
    <w:p>
      <w:pPr>
        <w:spacing w:line="560" w:lineRule="exact"/>
        <w:ind w:firstLine="630"/>
        <w:rPr>
          <w:rFonts w:eastAsia="仿宋_GB2312"/>
          <w:kern w:val="0"/>
          <w:sz w:val="32"/>
          <w:szCs w:val="32"/>
        </w:rPr>
      </w:pPr>
    </w:p>
    <w:p>
      <w:pPr>
        <w:spacing w:line="560" w:lineRule="exact"/>
        <w:ind w:firstLine="630"/>
        <w:rPr>
          <w:rFonts w:eastAsia="仿宋_GB2312"/>
          <w:kern w:val="0"/>
          <w:sz w:val="32"/>
          <w:szCs w:val="32"/>
        </w:rPr>
      </w:pPr>
    </w:p>
    <w:p>
      <w:pPr>
        <w:spacing w:line="560" w:lineRule="exact"/>
        <w:ind w:firstLine="630"/>
        <w:rPr>
          <w:rFonts w:eastAsia="仿宋_GB2312"/>
          <w:kern w:val="0"/>
          <w:sz w:val="32"/>
          <w:szCs w:val="32"/>
        </w:rPr>
      </w:pPr>
    </w:p>
    <w:p>
      <w:pPr>
        <w:spacing w:line="560" w:lineRule="exact"/>
        <w:ind w:firstLine="630"/>
        <w:rPr>
          <w:rFonts w:eastAsia="仿宋_GB2312"/>
          <w:kern w:val="0"/>
          <w:sz w:val="32"/>
          <w:szCs w:val="32"/>
        </w:rPr>
      </w:pPr>
    </w:p>
    <w:p>
      <w:pPr>
        <w:spacing w:line="560" w:lineRule="exact"/>
        <w:ind w:firstLine="630"/>
        <w:rPr>
          <w:rFonts w:eastAsia="仿宋_GB2312"/>
          <w:kern w:val="0"/>
          <w:sz w:val="32"/>
          <w:szCs w:val="32"/>
        </w:rPr>
      </w:pPr>
    </w:p>
    <w:p>
      <w:pPr>
        <w:spacing w:line="560" w:lineRule="exact"/>
        <w:ind w:firstLine="630"/>
        <w:rPr>
          <w:rFonts w:eastAsia="仿宋_GB2312"/>
          <w:kern w:val="0"/>
          <w:sz w:val="32"/>
          <w:szCs w:val="32"/>
        </w:rPr>
      </w:pPr>
    </w:p>
    <w:p>
      <w:pPr>
        <w:spacing w:line="560" w:lineRule="exact"/>
        <w:ind w:firstLine="630"/>
        <w:rPr>
          <w:rFonts w:eastAsia="仿宋_GB2312"/>
          <w:kern w:val="0"/>
          <w:sz w:val="32"/>
          <w:szCs w:val="32"/>
        </w:rPr>
      </w:pPr>
    </w:p>
    <w:p>
      <w:pPr>
        <w:spacing w:line="560" w:lineRule="exact"/>
        <w:ind w:firstLine="630"/>
        <w:rPr>
          <w:rFonts w:eastAsia="仿宋_GB2312"/>
          <w:kern w:val="0"/>
          <w:sz w:val="32"/>
          <w:szCs w:val="32"/>
        </w:rPr>
      </w:pPr>
    </w:p>
    <w:p>
      <w:pPr>
        <w:spacing w:line="560" w:lineRule="exact"/>
        <w:ind w:firstLine="630"/>
        <w:rPr>
          <w:rFonts w:eastAsia="仿宋_GB2312"/>
          <w:kern w:val="0"/>
          <w:sz w:val="32"/>
          <w:szCs w:val="32"/>
        </w:rPr>
      </w:pPr>
    </w:p>
    <w:p>
      <w:pPr>
        <w:spacing w:line="560" w:lineRule="exact"/>
        <w:ind w:firstLine="630"/>
        <w:rPr>
          <w:rFonts w:eastAsia="仿宋_GB2312"/>
          <w:kern w:val="0"/>
          <w:sz w:val="32"/>
          <w:szCs w:val="32"/>
        </w:rPr>
      </w:pPr>
    </w:p>
    <w:p>
      <w:pPr>
        <w:spacing w:line="560" w:lineRule="exact"/>
        <w:ind w:firstLine="630"/>
        <w:rPr>
          <w:rFonts w:eastAsia="仿宋_GB2312"/>
          <w:kern w:val="0"/>
          <w:sz w:val="32"/>
          <w:szCs w:val="32"/>
        </w:rPr>
      </w:pPr>
    </w:p>
    <w:p>
      <w:pPr>
        <w:spacing w:line="560" w:lineRule="exact"/>
        <w:ind w:firstLine="630"/>
        <w:rPr>
          <w:rFonts w:eastAsia="仿宋_GB2312"/>
          <w:kern w:val="0"/>
          <w:sz w:val="32"/>
          <w:szCs w:val="32"/>
        </w:rPr>
      </w:pPr>
    </w:p>
    <w:p>
      <w:pPr>
        <w:spacing w:line="560" w:lineRule="exact"/>
        <w:ind w:firstLine="630"/>
        <w:rPr>
          <w:rFonts w:eastAsia="仿宋_GB2312"/>
          <w:kern w:val="0"/>
          <w:sz w:val="32"/>
          <w:szCs w:val="32"/>
        </w:rPr>
      </w:pPr>
    </w:p>
    <w:p>
      <w:pPr>
        <w:tabs>
          <w:tab w:val="left" w:pos="3160"/>
        </w:tabs>
        <w:spacing w:line="560" w:lineRule="exact"/>
        <w:ind w:firstLine="630"/>
        <w:rPr>
          <w:rFonts w:eastAsia="仿宋_GB2312"/>
          <w:kern w:val="0"/>
          <w:sz w:val="32"/>
          <w:szCs w:val="32"/>
        </w:rPr>
      </w:pPr>
      <w:r>
        <w:rPr>
          <w:rFonts w:eastAsia="仿宋_GB2312"/>
          <w:kern w:val="0"/>
          <w:sz w:val="32"/>
          <w:szCs w:val="32"/>
        </w:rPr>
        <w:tab/>
      </w:r>
    </w:p>
    <w:p>
      <w:pPr>
        <w:spacing w:line="560" w:lineRule="exact"/>
        <w:ind w:firstLine="630"/>
        <w:rPr>
          <w:rFonts w:eastAsia="仿宋_GB2312"/>
          <w:kern w:val="0"/>
          <w:sz w:val="32"/>
          <w:szCs w:val="32"/>
        </w:rPr>
      </w:pPr>
    </w:p>
    <w:p>
      <w:pPr>
        <w:spacing w:line="560" w:lineRule="exact"/>
        <w:ind w:firstLine="630"/>
        <w:rPr>
          <w:rFonts w:eastAsia="仿宋_GB2312"/>
          <w:kern w:val="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r>
        <w:rPr>
          <w:rFonts w:hint="eastAsia" w:eastAsia="仿宋_GB2312"/>
          <w:color w:val="000000"/>
          <w:sz w:val="32"/>
          <w:szCs w:val="32"/>
        </w:rPr>
        <w:t xml:space="preserve"> </w:t>
      </w: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500" w:lineRule="exact"/>
        <w:rPr>
          <w:rFonts w:eastAsia="仿宋_GB2312"/>
          <w:color w:val="000000"/>
          <w:kern w:val="0"/>
          <w:sz w:val="28"/>
          <w:szCs w:val="28"/>
        </w:rPr>
      </w:pPr>
      <w:r>
        <w:rPr>
          <w:rFonts w:eastAsia="仿宋_GB2312"/>
          <w:color w:val="000000"/>
          <w:kern w:val="0"/>
          <w:sz w:val="28"/>
          <w:szCs w:val="28"/>
        </w:rPr>
        <w:pict>
          <v:line id="_x0000_s1766" o:spid="_x0000_s1766" o:spt="20" style="position:absolute;left:0pt;margin-top:2.5pt;height:0pt;width:441pt;mso-position-horizontal:center;z-index:251661312;mso-width-relative:page;mso-height-relative:page;" coordsize="21600,21600">
            <v:path arrowok="t"/>
            <v:fill focussize="0,0"/>
            <v:stroke weight="0.95pt"/>
            <v:imagedata o:title=""/>
            <o:lock v:ext="edit"/>
          </v:line>
        </w:pict>
      </w:r>
      <w:r>
        <w:rPr>
          <w:rFonts w:eastAsia="仿宋_GB2312"/>
          <w:color w:val="000000"/>
          <w:kern w:val="0"/>
          <w:sz w:val="28"/>
          <w:szCs w:val="28"/>
        </w:rPr>
        <w:t xml:space="preserve">  抄送：市委办公室，市人大常委会办公室，市政协办公室，市中级法 </w:t>
      </w:r>
    </w:p>
    <w:p>
      <w:pPr>
        <w:spacing w:line="500" w:lineRule="exact"/>
        <w:ind w:firstLine="1176" w:firstLineChars="420"/>
        <w:rPr>
          <w:rFonts w:eastAsia="仿宋_GB2312"/>
          <w:color w:val="000000"/>
          <w:kern w:val="0"/>
          <w:sz w:val="28"/>
          <w:szCs w:val="28"/>
        </w:rPr>
      </w:pPr>
      <w:r>
        <w:rPr>
          <w:rFonts w:eastAsia="仿宋_GB2312"/>
          <w:color w:val="000000"/>
          <w:kern w:val="0"/>
          <w:sz w:val="28"/>
          <w:szCs w:val="28"/>
        </w:rPr>
        <w:t>院，市检察院。</w:t>
      </w:r>
      <w:r>
        <w:rPr>
          <w:rFonts w:hint="eastAsia" w:eastAsia="仿宋_GB2312"/>
          <w:color w:val="000000"/>
          <w:kern w:val="0"/>
          <w:sz w:val="28"/>
          <w:szCs w:val="28"/>
        </w:rPr>
        <w:t xml:space="preserve"> </w:t>
      </w:r>
    </w:p>
    <w:p>
      <w:pPr>
        <w:spacing w:line="500" w:lineRule="exact"/>
        <w:rPr>
          <w:rFonts w:eastAsia="仿宋_GB2312"/>
          <w:color w:val="000000"/>
          <w:kern w:val="0"/>
          <w:sz w:val="28"/>
          <w:szCs w:val="28"/>
        </w:rPr>
      </w:pPr>
      <w:r>
        <w:rPr>
          <w:rFonts w:eastAsia="仿宋_GB2312"/>
          <w:color w:val="000000"/>
          <w:kern w:val="0"/>
          <w:sz w:val="28"/>
          <w:szCs w:val="28"/>
        </w:rPr>
        <w:pict>
          <v:line id="_x0000_s1764" o:spid="_x0000_s1764" o:spt="20" style="position:absolute;left:0pt;margin-left:0.75pt;margin-top:2.75pt;height:0pt;width:441pt;z-index:251659264;mso-width-relative:page;mso-height-relative:page;" coordsize="21600,21600">
            <v:path arrowok="t"/>
            <v:fill focussize="0,0"/>
            <v:stroke weight="0.55pt"/>
            <v:imagedata o:title=""/>
            <o:lock v:ext="edit"/>
          </v:line>
        </w:pict>
      </w:r>
      <w:r>
        <w:rPr>
          <w:rFonts w:eastAsia="仿宋_GB2312"/>
          <w:color w:val="000000"/>
          <w:kern w:val="0"/>
          <w:sz w:val="28"/>
          <w:szCs w:val="28"/>
        </w:rPr>
        <w:t xml:space="preserve">  忻州市人民政府办公室                   </w:t>
      </w:r>
      <w:r>
        <w:rPr>
          <w:rFonts w:hint="eastAsia" w:eastAsia="仿宋_GB2312"/>
          <w:color w:val="000000"/>
          <w:kern w:val="0"/>
          <w:sz w:val="28"/>
          <w:szCs w:val="28"/>
        </w:rPr>
        <w:t xml:space="preserve"> </w:t>
      </w:r>
      <w:r>
        <w:rPr>
          <w:rFonts w:eastAsia="仿宋_GB2312"/>
          <w:color w:val="000000"/>
          <w:kern w:val="0"/>
          <w:sz w:val="28"/>
          <w:szCs w:val="28"/>
        </w:rPr>
        <w:t xml:space="preserve"> 202</w:t>
      </w:r>
      <w:r>
        <w:rPr>
          <w:rFonts w:hint="eastAsia" w:eastAsia="仿宋_GB2312"/>
          <w:color w:val="000000"/>
          <w:kern w:val="0"/>
          <w:sz w:val="28"/>
          <w:szCs w:val="28"/>
        </w:rPr>
        <w:t>2</w:t>
      </w:r>
      <w:r>
        <w:rPr>
          <w:rFonts w:eastAsia="仿宋_GB2312"/>
          <w:color w:val="000000"/>
          <w:kern w:val="0"/>
          <w:sz w:val="28"/>
          <w:szCs w:val="28"/>
        </w:rPr>
        <w:t>年</w:t>
      </w:r>
      <w:r>
        <w:rPr>
          <w:rFonts w:hint="eastAsia" w:eastAsia="仿宋_GB2312"/>
          <w:color w:val="000000"/>
          <w:kern w:val="0"/>
          <w:sz w:val="28"/>
          <w:szCs w:val="28"/>
        </w:rPr>
        <w:t>6</w:t>
      </w:r>
      <w:r>
        <w:rPr>
          <w:rFonts w:eastAsia="仿宋_GB2312"/>
          <w:color w:val="000000"/>
          <w:kern w:val="0"/>
          <w:sz w:val="28"/>
          <w:szCs w:val="28"/>
        </w:rPr>
        <w:t>月</w:t>
      </w:r>
      <w:r>
        <w:rPr>
          <w:rFonts w:hint="eastAsia" w:eastAsia="仿宋_GB2312"/>
          <w:color w:val="000000"/>
          <w:kern w:val="0"/>
          <w:sz w:val="28"/>
          <w:szCs w:val="28"/>
        </w:rPr>
        <w:t>8</w:t>
      </w:r>
      <w:r>
        <w:rPr>
          <w:rFonts w:eastAsia="仿宋_GB2312"/>
          <w:color w:val="000000"/>
          <w:kern w:val="0"/>
          <w:sz w:val="28"/>
          <w:szCs w:val="28"/>
        </w:rPr>
        <w:t xml:space="preserve">日印发 </w:t>
      </w:r>
    </w:p>
    <w:p>
      <w:pPr>
        <w:spacing w:line="500" w:lineRule="exact"/>
      </w:pPr>
      <w:r>
        <w:rPr>
          <w:rFonts w:eastAsia="仿宋_GB2312"/>
          <w:color w:val="000000"/>
          <w:kern w:val="0"/>
          <w:sz w:val="28"/>
          <w:szCs w:val="28"/>
        </w:rPr>
        <w:drawing>
          <wp:anchor distT="0" distB="0" distL="114300" distR="114300" simplePos="0" relativeHeight="251662336" behindDoc="0" locked="0" layoutInCell="1" allowOverlap="1">
            <wp:simplePos x="0" y="0"/>
            <wp:positionH relativeFrom="column">
              <wp:posOffset>3820795</wp:posOffset>
            </wp:positionH>
            <wp:positionV relativeFrom="paragraph">
              <wp:posOffset>344170</wp:posOffset>
            </wp:positionV>
            <wp:extent cx="2009775" cy="714375"/>
            <wp:effectExtent l="19050" t="0" r="9525" b="0"/>
            <wp:wrapNone/>
            <wp:docPr id="2" name="图片 1" descr="C:\Users\Administrator\Desktop\20220615155847_00001.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C:\Users\Administrator\Desktop\20220615155847_00001.jpg"/>
                    <pic:cNvPicPr>
                      <a:picLocks noChangeAspect="true" noChangeArrowheads="true"/>
                    </pic:cNvPicPr>
                  </pic:nvPicPr>
                  <pic:blipFill>
                    <a:blip r:embed="rId7" cstate="print"/>
                    <a:srcRect/>
                    <a:stretch>
                      <a:fillRect/>
                    </a:stretch>
                  </pic:blipFill>
                  <pic:spPr>
                    <a:xfrm>
                      <a:off x="0" y="0"/>
                      <a:ext cx="2009775" cy="714375"/>
                    </a:xfrm>
                    <a:prstGeom prst="rect">
                      <a:avLst/>
                    </a:prstGeom>
                    <a:noFill/>
                    <a:ln w="9525">
                      <a:noFill/>
                      <a:miter lim="800000"/>
                      <a:headEnd/>
                      <a:tailEnd/>
                    </a:ln>
                  </pic:spPr>
                </pic:pic>
              </a:graphicData>
            </a:graphic>
          </wp:anchor>
        </w:drawing>
      </w:r>
      <w:r>
        <w:rPr>
          <w:rFonts w:eastAsia="仿宋_GB2312"/>
          <w:color w:val="000000"/>
          <w:kern w:val="0"/>
          <w:sz w:val="28"/>
          <w:szCs w:val="28"/>
        </w:rPr>
        <w:pict>
          <v:line id="_x0000_s1765" o:spid="_x0000_s1765" o:spt="20" style="position:absolute;left:0pt;margin-left:0pt;margin-top:3.25pt;height:0pt;width:441pt;z-index:251660288;mso-width-relative:page;mso-height-relative:page;" coordsize="21600,21600">
            <v:path arrowok="t"/>
            <v:fill focussize="0,0"/>
            <v:stroke weight="0.95pt"/>
            <v:imagedata o:title=""/>
            <o:lock v:ext="edit"/>
          </v:line>
        </w:pict>
      </w:r>
      <w:r>
        <w:rPr>
          <w:rFonts w:eastAsia="仿宋_GB2312"/>
          <w:color w:val="000000"/>
          <w:kern w:val="0"/>
          <w:sz w:val="28"/>
          <w:szCs w:val="28"/>
        </w:rPr>
        <w:t xml:space="preserve">                                                    共印1</w:t>
      </w:r>
      <w:r>
        <w:rPr>
          <w:rFonts w:hint="eastAsia" w:eastAsia="仿宋_GB2312"/>
          <w:color w:val="000000"/>
          <w:kern w:val="0"/>
          <w:sz w:val="28"/>
          <w:szCs w:val="28"/>
        </w:rPr>
        <w:t>6</w:t>
      </w:r>
      <w:r>
        <w:rPr>
          <w:rFonts w:eastAsia="仿宋_GB2312"/>
          <w:color w:val="000000"/>
          <w:kern w:val="0"/>
          <w:sz w:val="28"/>
          <w:szCs w:val="28"/>
        </w:rPr>
        <w:t>0份</w:t>
      </w:r>
    </w:p>
    <w:sectPr>
      <w:footerReference r:id="rId5" w:type="first"/>
      <w:footerReference r:id="rId3" w:type="default"/>
      <w:footerReference r:id="rId4" w:type="even"/>
      <w:pgSz w:w="11906" w:h="16838"/>
      <w:pgMar w:top="2098" w:right="1588" w:bottom="1701" w:left="1588" w:header="851" w:footer="1134" w:gutter="0"/>
      <w:pgNumType w:fmt="numberInDash" w:start="1"/>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0000000"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等线">
    <w:altName w:val="华文仿宋"/>
    <w:panose1 w:val="00000000000000000000"/>
    <w:charset w:val="86"/>
    <w:family w:val="auto"/>
    <w:pitch w:val="default"/>
    <w:sig w:usb0="00000000" w:usb1="00000000" w:usb2="00000016" w:usb3="00000000" w:csb0="0004000F" w:csb1="00000000"/>
  </w:font>
  <w:font w:name="楷体_GB2312">
    <w:altName w:val="方正楷体_GBK"/>
    <w:panose1 w:val="02010609030101010101"/>
    <w:charset w:val="86"/>
    <w:family w:val="modern"/>
    <w:pitch w:val="default"/>
    <w:sig w:usb0="00000000" w:usb1="00000000" w:usb2="00000010" w:usb3="00000000" w:csb0="00040000" w:csb1="00000000"/>
  </w:font>
  <w:font w:name="方正仿宋_GBK">
    <w:panose1 w:val="02000000000000000000"/>
    <w:charset w:val="86"/>
    <w:family w:val="roman"/>
    <w:pitch w:val="default"/>
    <w:sig w:usb0="00000001" w:usb1="08000000" w:usb2="00000000" w:usb3="00000000" w:csb0="00040000" w:csb1="00000000"/>
  </w:font>
  <w:font w:name="方正大标宋简体">
    <w:altName w:val="方正书宋_GBK"/>
    <w:panose1 w:val="02010601030101010101"/>
    <w:charset w:val="86"/>
    <w:family w:val="auto"/>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PMingLiU">
    <w:altName w:val="Droid Sans Fallback"/>
    <w:panose1 w:val="02020500000000000000"/>
    <w:charset w:val="88"/>
    <w:family w:val="roman"/>
    <w:pitch w:val="default"/>
    <w:sig w:usb0="00000000" w:usb1="00000000"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7510"/>
      <w:docPartObj>
        <w:docPartGallery w:val="AutoText"/>
      </w:docPartObj>
    </w:sdtPr>
    <w:sdtContent>
      <w:p>
        <w:pPr>
          <w:pStyle w:val="19"/>
          <w:jc w:val="right"/>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13 -</w:t>
        </w:r>
        <w:r>
          <w:rPr>
            <w:rFonts w:ascii="宋体" w:hAnsi="宋体"/>
            <w:sz w:val="24"/>
          </w:rPr>
          <w:fldChar w:fldCharType="end"/>
        </w:r>
      </w:p>
    </w:sdtContent>
  </w:sdt>
  <w:p>
    <w:pPr>
      <w:pStyle w:val="1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7471"/>
      <w:docPartObj>
        <w:docPartGallery w:val="AutoText"/>
      </w:docPartObj>
    </w:sdtPr>
    <w:sdtContent>
      <w:p>
        <w:pPr>
          <w:pStyle w:val="19"/>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14 -</w:t>
        </w:r>
        <w:r>
          <w:rPr>
            <w:rFonts w:ascii="宋体" w:hAnsi="宋体"/>
            <w:sz w:val="24"/>
          </w:rPr>
          <w:fldChar w:fldCharType="end"/>
        </w:r>
      </w:p>
    </w:sdtContent>
  </w:sdt>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7470"/>
      <w:docPartObj>
        <w:docPartGallery w:val="AutoText"/>
      </w:docPartObj>
    </w:sdtPr>
    <w:sdtContent>
      <w:p>
        <w:pPr>
          <w:pStyle w:val="19"/>
          <w:jc w:val="right"/>
        </w:pPr>
        <w:r>
          <w:fldChar w:fldCharType="begin"/>
        </w:r>
        <w:r>
          <w:instrText xml:space="preserve"> PAGE   \* MERGEFORMAT </w:instrText>
        </w:r>
        <w:r>
          <w:fldChar w:fldCharType="separate"/>
        </w:r>
        <w:r>
          <w:rPr>
            <w:lang w:val="zh-CN"/>
          </w:rPr>
          <w:t>-</w:t>
        </w:r>
        <w:r>
          <w:t xml:space="preserve"> 1 -</w:t>
        </w:r>
        <w:r>
          <w:fldChar w:fldCharType="end"/>
        </w:r>
      </w:p>
    </w:sdtContent>
  </w:sdt>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6DBDBB"/>
    <w:multiLevelType w:val="singleLevel"/>
    <w:tmpl w:val="2B6DBDB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317"/>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55961"/>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 w:val="B63F1A4F"/>
    <w:rsid w:val="B6B754ED"/>
    <w:rsid w:val="BFDF6E01"/>
    <w:rsid w:val="C5FF40F3"/>
    <w:rsid w:val="EFD93E34"/>
    <w:rsid w:val="F4B231AA"/>
    <w:rsid w:val="F86F8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112"/>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17"/>
    <w:unhideWhenUsed/>
    <w:qFormat/>
    <w:uiPriority w:val="9"/>
    <w:pPr>
      <w:keepNext/>
      <w:keepLines/>
      <w:spacing w:before="280" w:after="290" w:line="376" w:lineRule="auto"/>
      <w:outlineLvl w:val="4"/>
    </w:pPr>
    <w:rPr>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7">
    <w:name w:val="table of authorities"/>
    <w:basedOn w:val="1"/>
    <w:next w:val="1"/>
    <w:unhideWhenUsed/>
    <w:qFormat/>
    <w:uiPriority w:val="0"/>
    <w:pPr>
      <w:spacing w:before="100" w:beforeAutospacing="1" w:after="100" w:afterAutospacing="1"/>
      <w:ind w:left="420" w:leftChars="200"/>
    </w:pPr>
    <w:rPr>
      <w:rFonts w:ascii="Calibri" w:hAnsi="Calibri" w:cs="Calibri"/>
      <w:sz w:val="32"/>
      <w:szCs w:val="32"/>
    </w:rPr>
  </w:style>
  <w:style w:type="paragraph" w:styleId="8">
    <w:name w:val="Document Map"/>
    <w:basedOn w:val="1"/>
    <w:link w:val="96"/>
    <w:qFormat/>
    <w:uiPriority w:val="0"/>
    <w:rPr>
      <w:rFonts w:ascii="宋体"/>
      <w:sz w:val="18"/>
      <w:szCs w:val="18"/>
    </w:rPr>
  </w:style>
  <w:style w:type="paragraph" w:styleId="9">
    <w:name w:val="toa heading"/>
    <w:basedOn w:val="1"/>
    <w:next w:val="1"/>
    <w:qFormat/>
    <w:uiPriority w:val="99"/>
    <w:pPr>
      <w:spacing w:before="120"/>
    </w:pPr>
    <w:rPr>
      <w:rFonts w:ascii="Calibri Light" w:hAnsi="Calibri Light"/>
      <w:sz w:val="24"/>
    </w:rPr>
  </w:style>
  <w:style w:type="paragraph" w:styleId="10">
    <w:name w:val="annotation text"/>
    <w:basedOn w:val="1"/>
    <w:link w:val="70"/>
    <w:qFormat/>
    <w:uiPriority w:val="99"/>
    <w:pPr>
      <w:jc w:val="left"/>
    </w:pPr>
    <w:rPr>
      <w:szCs w:val="20"/>
    </w:rPr>
  </w:style>
  <w:style w:type="paragraph" w:styleId="11">
    <w:name w:val="Body Text 3"/>
    <w:basedOn w:val="1"/>
    <w:link w:val="74"/>
    <w:qFormat/>
    <w:uiPriority w:val="0"/>
    <w:pPr>
      <w:spacing w:after="120"/>
    </w:pPr>
    <w:rPr>
      <w:sz w:val="16"/>
      <w:szCs w:val="16"/>
    </w:rPr>
  </w:style>
  <w:style w:type="paragraph" w:styleId="12">
    <w:name w:val="Body Text"/>
    <w:basedOn w:val="1"/>
    <w:qFormat/>
    <w:uiPriority w:val="1"/>
    <w:pPr>
      <w:spacing w:after="120"/>
    </w:pPr>
  </w:style>
  <w:style w:type="paragraph" w:styleId="13">
    <w:name w:val="Body Text Indent"/>
    <w:basedOn w:val="1"/>
    <w:link w:val="104"/>
    <w:qFormat/>
    <w:uiPriority w:val="0"/>
    <w:pPr>
      <w:ind w:firstLine="435"/>
    </w:pPr>
    <w:rPr>
      <w:rFonts w:eastAsia="仿宋_GB2312"/>
      <w:sz w:val="32"/>
    </w:rPr>
  </w:style>
  <w:style w:type="paragraph" w:styleId="14">
    <w:name w:val="toc 3"/>
    <w:basedOn w:val="1"/>
    <w:next w:val="1"/>
    <w:unhideWhenUsed/>
    <w:qFormat/>
    <w:uiPriority w:val="39"/>
    <w:pPr>
      <w:ind w:left="840" w:leftChars="400"/>
    </w:pPr>
  </w:style>
  <w:style w:type="paragraph" w:styleId="15">
    <w:name w:val="Plain Text"/>
    <w:basedOn w:val="1"/>
    <w:link w:val="109"/>
    <w:qFormat/>
    <w:uiPriority w:val="0"/>
    <w:rPr>
      <w:rFonts w:ascii="宋体" w:hAnsi="Courier New"/>
    </w:rPr>
  </w:style>
  <w:style w:type="paragraph" w:styleId="16">
    <w:name w:val="Date"/>
    <w:basedOn w:val="1"/>
    <w:next w:val="1"/>
    <w:qFormat/>
    <w:uiPriority w:val="0"/>
    <w:pPr>
      <w:ind w:left="100" w:leftChars="2500"/>
    </w:pPr>
  </w:style>
  <w:style w:type="paragraph" w:styleId="17">
    <w:name w:val="Body Text Indent 2"/>
    <w:basedOn w:val="1"/>
    <w:qFormat/>
    <w:uiPriority w:val="0"/>
    <w:pPr>
      <w:spacing w:after="120" w:line="480" w:lineRule="auto"/>
      <w:ind w:left="420" w:leftChars="200"/>
    </w:pPr>
  </w:style>
  <w:style w:type="paragraph" w:styleId="18">
    <w:name w:val="Balloon Text"/>
    <w:basedOn w:val="1"/>
    <w:semiHidden/>
    <w:qFormat/>
    <w:uiPriority w:val="0"/>
    <w:rPr>
      <w:sz w:val="18"/>
      <w:szCs w:val="18"/>
    </w:rPr>
  </w:style>
  <w:style w:type="paragraph" w:styleId="19">
    <w:name w:val="footer"/>
    <w:basedOn w:val="1"/>
    <w:link w:val="52"/>
    <w:qFormat/>
    <w:uiPriority w:val="99"/>
    <w:pPr>
      <w:tabs>
        <w:tab w:val="center" w:pos="4153"/>
        <w:tab w:val="right" w:pos="8306"/>
      </w:tabs>
      <w:snapToGrid w:val="0"/>
      <w:jc w:val="left"/>
    </w:pPr>
    <w:rPr>
      <w:sz w:val="18"/>
    </w:rPr>
  </w:style>
  <w:style w:type="paragraph" w:styleId="20">
    <w:name w:val="header"/>
    <w:basedOn w:val="1"/>
    <w:link w:val="4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1"/>
    <w:basedOn w:val="1"/>
    <w:next w:val="1"/>
    <w:unhideWhenUsed/>
    <w:qFormat/>
    <w:uiPriority w:val="39"/>
  </w:style>
  <w:style w:type="paragraph" w:styleId="22">
    <w:name w:val="Subtitle"/>
    <w:basedOn w:val="1"/>
    <w:next w:val="1"/>
    <w:link w:val="92"/>
    <w:qFormat/>
    <w:uiPriority w:val="11"/>
    <w:pPr>
      <w:spacing w:before="240" w:after="60" w:line="312" w:lineRule="auto"/>
      <w:jc w:val="center"/>
      <w:outlineLvl w:val="1"/>
    </w:pPr>
    <w:rPr>
      <w:rFonts w:ascii="Cambria" w:hAnsi="Cambria"/>
      <w:b/>
      <w:bCs/>
      <w:kern w:val="28"/>
      <w:sz w:val="32"/>
      <w:szCs w:val="32"/>
    </w:rPr>
  </w:style>
  <w:style w:type="paragraph" w:styleId="23">
    <w:name w:val="footnote text"/>
    <w:basedOn w:val="1"/>
    <w:link w:val="99"/>
    <w:unhideWhenUsed/>
    <w:qFormat/>
    <w:uiPriority w:val="99"/>
    <w:pPr>
      <w:snapToGrid w:val="0"/>
      <w:jc w:val="left"/>
    </w:pPr>
    <w:rPr>
      <w:rFonts w:ascii="等线" w:hAnsi="等线" w:eastAsia="等线" w:cs="黑体"/>
      <w:sz w:val="18"/>
      <w:szCs w:val="18"/>
    </w:rPr>
  </w:style>
  <w:style w:type="paragraph" w:styleId="24">
    <w:name w:val="Body Text Indent 3"/>
    <w:basedOn w:val="1"/>
    <w:qFormat/>
    <w:uiPriority w:val="0"/>
    <w:pPr>
      <w:spacing w:after="120"/>
      <w:ind w:left="420" w:leftChars="200"/>
    </w:pPr>
    <w:rPr>
      <w:sz w:val="16"/>
      <w:szCs w:val="16"/>
    </w:rPr>
  </w:style>
  <w:style w:type="paragraph" w:styleId="25">
    <w:name w:val="toc 2"/>
    <w:basedOn w:val="1"/>
    <w:next w:val="1"/>
    <w:qFormat/>
    <w:uiPriority w:val="39"/>
    <w:pPr>
      <w:ind w:left="420"/>
      <w:jc w:val="center"/>
    </w:pPr>
    <w:rPr>
      <w:rFonts w:ascii="楷体_GB2312" w:eastAsia="楷体_GB2312"/>
      <w:sz w:val="32"/>
    </w:rPr>
  </w:style>
  <w:style w:type="paragraph" w:styleId="26">
    <w:name w:val="Body Text 2"/>
    <w:basedOn w:val="1"/>
    <w:link w:val="88"/>
    <w:qFormat/>
    <w:uiPriority w:val="0"/>
    <w:pPr>
      <w:spacing w:after="120" w:line="480" w:lineRule="auto"/>
    </w:pPr>
  </w:style>
  <w:style w:type="paragraph" w:styleId="27">
    <w:name w:val="HTML Preformatted"/>
    <w:basedOn w:val="1"/>
    <w:link w:val="106"/>
    <w:unhideWhenUsed/>
    <w:qFormat/>
    <w:uiPriority w:val="0"/>
    <w:pPr>
      <w:widowControl/>
      <w:jc w:val="left"/>
    </w:pPr>
    <w:rPr>
      <w:rFonts w:ascii="宋体" w:hAnsi="宋体" w:cs="宋体"/>
      <w:kern w:val="0"/>
      <w:sz w:val="24"/>
    </w:rPr>
  </w:style>
  <w:style w:type="paragraph" w:styleId="28">
    <w:name w:val="Normal (Web)"/>
    <w:basedOn w:val="1"/>
    <w:qFormat/>
    <w:uiPriority w:val="0"/>
    <w:pPr>
      <w:widowControl/>
      <w:spacing w:before="100" w:beforeAutospacing="1" w:after="100" w:afterAutospacing="1"/>
      <w:jc w:val="left"/>
    </w:pPr>
    <w:rPr>
      <w:rFonts w:ascii="宋体" w:hAnsi="宋体"/>
      <w:kern w:val="0"/>
      <w:sz w:val="24"/>
    </w:rPr>
  </w:style>
  <w:style w:type="paragraph" w:styleId="29">
    <w:name w:val="Title"/>
    <w:basedOn w:val="1"/>
    <w:next w:val="1"/>
    <w:link w:val="103"/>
    <w:qFormat/>
    <w:uiPriority w:val="0"/>
    <w:pPr>
      <w:spacing w:before="240" w:after="60"/>
      <w:jc w:val="center"/>
      <w:outlineLvl w:val="0"/>
    </w:pPr>
    <w:rPr>
      <w:rFonts w:ascii="Arial" w:hAnsi="Arial"/>
      <w:b/>
      <w:sz w:val="32"/>
    </w:rPr>
  </w:style>
  <w:style w:type="paragraph" w:styleId="30">
    <w:name w:val="Body Text First Indent 2"/>
    <w:basedOn w:val="13"/>
    <w:link w:val="105"/>
    <w:unhideWhenUsed/>
    <w:qFormat/>
    <w:uiPriority w:val="0"/>
    <w:pPr>
      <w:spacing w:after="120"/>
      <w:ind w:left="420" w:leftChars="200" w:firstLine="420" w:firstLineChars="200"/>
    </w:pPr>
    <w:rPr>
      <w:rFonts w:ascii="Calibri" w:hAnsi="Calibri" w:eastAsia="宋体"/>
      <w:sz w:val="21"/>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basedOn w:val="33"/>
    <w:qFormat/>
    <w:uiPriority w:val="0"/>
    <w:rPr>
      <w:b/>
      <w:bCs/>
    </w:rPr>
  </w:style>
  <w:style w:type="character" w:styleId="35">
    <w:name w:val="page number"/>
    <w:basedOn w:val="33"/>
    <w:qFormat/>
    <w:uiPriority w:val="99"/>
  </w:style>
  <w:style w:type="character" w:styleId="36">
    <w:name w:val="Emphasis"/>
    <w:basedOn w:val="33"/>
    <w:qFormat/>
    <w:uiPriority w:val="0"/>
    <w:rPr>
      <w:i/>
      <w:iCs/>
    </w:rPr>
  </w:style>
  <w:style w:type="character" w:styleId="37">
    <w:name w:val="Hyperlink"/>
    <w:basedOn w:val="33"/>
    <w:qFormat/>
    <w:uiPriority w:val="99"/>
    <w:rPr>
      <w:color w:val="0000FF"/>
      <w:u w:val="single"/>
    </w:rPr>
  </w:style>
  <w:style w:type="character" w:customStyle="1" w:styleId="38">
    <w:name w:val="标题 1 Char"/>
    <w:basedOn w:val="33"/>
    <w:link w:val="2"/>
    <w:qFormat/>
    <w:locked/>
    <w:uiPriority w:val="9"/>
    <w:rPr>
      <w:rFonts w:eastAsia="宋体"/>
      <w:b/>
      <w:bCs/>
      <w:kern w:val="44"/>
      <w:sz w:val="44"/>
      <w:szCs w:val="44"/>
      <w:lang w:val="en-US" w:eastAsia="zh-CN" w:bidi="ar-SA"/>
    </w:rPr>
  </w:style>
  <w:style w:type="character" w:customStyle="1" w:styleId="39">
    <w:name w:val="标题 2 Char"/>
    <w:basedOn w:val="33"/>
    <w:link w:val="3"/>
    <w:qFormat/>
    <w:uiPriority w:val="9"/>
    <w:rPr>
      <w:rFonts w:ascii="Arial" w:hAnsi="Arial" w:eastAsia="黑体"/>
      <w:b/>
      <w:bCs/>
      <w:kern w:val="2"/>
      <w:sz w:val="32"/>
      <w:szCs w:val="32"/>
      <w:lang w:val="en-US" w:eastAsia="zh-CN" w:bidi="ar-SA"/>
    </w:rPr>
  </w:style>
  <w:style w:type="character" w:customStyle="1" w:styleId="40">
    <w:name w:val="标题 3 Char"/>
    <w:basedOn w:val="33"/>
    <w:link w:val="4"/>
    <w:qFormat/>
    <w:locked/>
    <w:uiPriority w:val="0"/>
    <w:rPr>
      <w:rFonts w:eastAsia="宋体"/>
      <w:b/>
      <w:bCs/>
      <w:kern w:val="2"/>
      <w:sz w:val="32"/>
      <w:szCs w:val="32"/>
      <w:lang w:val="en-US" w:eastAsia="zh-CN" w:bidi="ar-SA"/>
    </w:rPr>
  </w:style>
  <w:style w:type="paragraph" w:customStyle="1" w:styleId="41">
    <w:name w:val="_Style 5"/>
    <w:basedOn w:val="1"/>
    <w:qFormat/>
    <w:uiPriority w:val="0"/>
  </w:style>
  <w:style w:type="character" w:customStyle="1" w:styleId="42">
    <w:name w:val="ca-3"/>
    <w:basedOn w:val="33"/>
    <w:qFormat/>
    <w:uiPriority w:val="0"/>
  </w:style>
  <w:style w:type="character" w:customStyle="1" w:styleId="43">
    <w:name w:val="16"/>
    <w:basedOn w:val="33"/>
    <w:qFormat/>
    <w:uiPriority w:val="0"/>
  </w:style>
  <w:style w:type="character" w:customStyle="1" w:styleId="44">
    <w:name w:val="biaoti-61"/>
    <w:basedOn w:val="33"/>
    <w:qFormat/>
    <w:uiPriority w:val="0"/>
    <w:rPr>
      <w:b/>
      <w:bCs/>
      <w:color w:val="000066"/>
      <w:sz w:val="30"/>
      <w:szCs w:val="30"/>
    </w:rPr>
  </w:style>
  <w:style w:type="character" w:customStyle="1" w:styleId="45">
    <w:name w:val="scayt-misspell"/>
    <w:basedOn w:val="33"/>
    <w:qFormat/>
    <w:uiPriority w:val="0"/>
  </w:style>
  <w:style w:type="character" w:customStyle="1" w:styleId="46">
    <w:name w:val="ht1"/>
    <w:basedOn w:val="33"/>
    <w:qFormat/>
    <w:uiPriority w:val="0"/>
  </w:style>
  <w:style w:type="character" w:customStyle="1" w:styleId="47">
    <w:name w:val="我的正文 Char Char"/>
    <w:basedOn w:val="33"/>
    <w:link w:val="48"/>
    <w:qFormat/>
    <w:uiPriority w:val="0"/>
    <w:rPr>
      <w:rFonts w:ascii="楷体_GB2312" w:hAnsi="Arial" w:eastAsia="楷体_GB2312" w:cs="Arial"/>
      <w:kern w:val="2"/>
      <w:sz w:val="28"/>
      <w:szCs w:val="30"/>
      <w:lang w:val="en-US" w:eastAsia="zh-CN" w:bidi="ar-SA"/>
    </w:rPr>
  </w:style>
  <w:style w:type="paragraph" w:customStyle="1" w:styleId="48">
    <w:name w:val="我的正文"/>
    <w:basedOn w:val="1"/>
    <w:link w:val="47"/>
    <w:qFormat/>
    <w:uiPriority w:val="0"/>
    <w:pPr>
      <w:spacing w:line="360" w:lineRule="auto"/>
      <w:ind w:firstLine="200" w:firstLineChars="200"/>
    </w:pPr>
    <w:rPr>
      <w:rFonts w:ascii="楷体_GB2312" w:hAnsi="Arial" w:eastAsia="楷体_GB2312" w:cs="Arial"/>
      <w:sz w:val="28"/>
      <w:szCs w:val="30"/>
    </w:rPr>
  </w:style>
  <w:style w:type="character" w:customStyle="1" w:styleId="49">
    <w:name w:val="页眉 Char"/>
    <w:basedOn w:val="33"/>
    <w:link w:val="20"/>
    <w:qFormat/>
    <w:uiPriority w:val="99"/>
    <w:rPr>
      <w:rFonts w:eastAsia="宋体"/>
      <w:kern w:val="2"/>
      <w:sz w:val="18"/>
      <w:szCs w:val="24"/>
      <w:lang w:val="en-US" w:eastAsia="zh-CN" w:bidi="ar-SA"/>
    </w:rPr>
  </w:style>
  <w:style w:type="paragraph" w:customStyle="1" w:styleId="50">
    <w:name w:val="Char"/>
    <w:basedOn w:val="1"/>
    <w:qFormat/>
    <w:uiPriority w:val="0"/>
    <w:pPr>
      <w:widowControl/>
      <w:spacing w:after="160" w:line="240" w:lineRule="exact"/>
      <w:jc w:val="left"/>
    </w:pPr>
  </w:style>
  <w:style w:type="paragraph" w:customStyle="1" w:styleId="51">
    <w:name w:val="Char1"/>
    <w:basedOn w:val="1"/>
    <w:qFormat/>
    <w:uiPriority w:val="0"/>
    <w:pPr>
      <w:widowControl/>
      <w:adjustRightInd w:val="0"/>
      <w:spacing w:after="160" w:line="240" w:lineRule="exact"/>
      <w:jc w:val="left"/>
    </w:pPr>
  </w:style>
  <w:style w:type="character" w:customStyle="1" w:styleId="52">
    <w:name w:val="页脚 Char"/>
    <w:basedOn w:val="33"/>
    <w:link w:val="19"/>
    <w:qFormat/>
    <w:uiPriority w:val="99"/>
    <w:rPr>
      <w:rFonts w:eastAsia="宋体"/>
      <w:kern w:val="2"/>
      <w:sz w:val="18"/>
      <w:szCs w:val="24"/>
      <w:lang w:val="en-US" w:eastAsia="zh-CN" w:bidi="ar-SA"/>
    </w:rPr>
  </w:style>
  <w:style w:type="paragraph" w:customStyle="1" w:styleId="53">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报告正文1"/>
    <w:basedOn w:val="1"/>
    <w:qFormat/>
    <w:uiPriority w:val="0"/>
    <w:pPr>
      <w:spacing w:line="580" w:lineRule="exact"/>
      <w:ind w:firstLine="200" w:firstLineChars="200"/>
    </w:pPr>
    <w:rPr>
      <w:rFonts w:eastAsia="方正仿宋_GBK" w:cs="宋体"/>
      <w:szCs w:val="20"/>
    </w:rPr>
  </w:style>
  <w:style w:type="paragraph" w:customStyle="1" w:styleId="55">
    <w:name w:val="Char Char Char1 Char Char Char Char Char Char Char Char Char Char Char Char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6">
    <w:name w:val="Char Char Char1 Char"/>
    <w:basedOn w:val="1"/>
    <w:qFormat/>
    <w:uiPriority w:val="0"/>
    <w:pPr>
      <w:widowControl/>
      <w:spacing w:after="160" w:line="240" w:lineRule="exact"/>
      <w:jc w:val="left"/>
    </w:pPr>
  </w:style>
  <w:style w:type="paragraph" w:customStyle="1" w:styleId="57">
    <w:name w:val="标题5"/>
    <w:basedOn w:val="1"/>
    <w:next w:val="1"/>
    <w:qFormat/>
    <w:uiPriority w:val="0"/>
    <w:pPr>
      <w:keepNext/>
      <w:widowControl/>
      <w:spacing w:before="100" w:beforeAutospacing="1" w:after="100" w:afterAutospacing="1" w:line="240" w:lineRule="exact"/>
      <w:ind w:firstLine="360" w:firstLineChars="150"/>
      <w:jc w:val="left"/>
    </w:pPr>
  </w:style>
  <w:style w:type="paragraph" w:customStyle="1" w:styleId="58">
    <w:name w:val="p0"/>
    <w:basedOn w:val="1"/>
    <w:qFormat/>
    <w:uiPriority w:val="0"/>
    <w:pPr>
      <w:widowControl/>
      <w:spacing w:line="365" w:lineRule="atLeast"/>
      <w:ind w:left="1"/>
      <w:textAlignment w:val="bottom"/>
    </w:pPr>
    <w:rPr>
      <w:kern w:val="0"/>
      <w:sz w:val="20"/>
    </w:rPr>
  </w:style>
  <w:style w:type="paragraph" w:customStyle="1" w:styleId="59">
    <w:name w:val="p15"/>
    <w:basedOn w:val="1"/>
    <w:qFormat/>
    <w:uiPriority w:val="0"/>
    <w:pPr>
      <w:widowControl/>
    </w:pPr>
    <w:rPr>
      <w:kern w:val="0"/>
      <w:szCs w:val="21"/>
    </w:rPr>
  </w:style>
  <w:style w:type="paragraph" w:customStyle="1" w:styleId="60">
    <w:name w:val="列出段落1"/>
    <w:basedOn w:val="1"/>
    <w:qFormat/>
    <w:uiPriority w:val="34"/>
    <w:pPr>
      <w:ind w:firstLine="420" w:firstLineChars="200"/>
    </w:pPr>
  </w:style>
  <w:style w:type="paragraph" w:customStyle="1" w:styleId="61">
    <w:name w:val="Char1 Char Char Char"/>
    <w:basedOn w:val="1"/>
    <w:qFormat/>
    <w:uiPriority w:val="0"/>
    <w:pPr>
      <w:spacing w:line="360" w:lineRule="auto"/>
    </w:pPr>
  </w:style>
  <w:style w:type="paragraph" w:customStyle="1" w:styleId="62">
    <w:name w:val="w1"/>
    <w:basedOn w:val="1"/>
    <w:qFormat/>
    <w:uiPriority w:val="0"/>
    <w:pPr>
      <w:spacing w:line="360" w:lineRule="exact"/>
      <w:ind w:firstLine="551" w:firstLineChars="196"/>
    </w:pPr>
    <w:rPr>
      <w:rFonts w:ascii="仿宋_GB2312" w:hAnsi="宋体" w:eastAsia="仿宋_GB2312" w:cs="宋体"/>
      <w:b/>
      <w:sz w:val="28"/>
      <w:szCs w:val="28"/>
    </w:rPr>
  </w:style>
  <w:style w:type="paragraph" w:customStyle="1" w:styleId="63">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默认段落字体 Para Char Char Char Char"/>
    <w:basedOn w:val="1"/>
    <w:qFormat/>
    <w:uiPriority w:val="0"/>
  </w:style>
  <w:style w:type="character" w:customStyle="1" w:styleId="70">
    <w:name w:val="批注文字 Char"/>
    <w:basedOn w:val="33"/>
    <w:link w:val="10"/>
    <w:qFormat/>
    <w:uiPriority w:val="99"/>
    <w:rPr>
      <w:kern w:val="2"/>
      <w:sz w:val="21"/>
    </w:rPr>
  </w:style>
  <w:style w:type="character" w:customStyle="1" w:styleId="71">
    <w:name w:val="font121"/>
    <w:basedOn w:val="33"/>
    <w:qFormat/>
    <w:uiPriority w:val="0"/>
    <w:rPr>
      <w:sz w:val="18"/>
      <w:szCs w:val="18"/>
    </w:rPr>
  </w:style>
  <w:style w:type="paragraph" w:customStyle="1" w:styleId="72">
    <w:name w:val="p16"/>
    <w:basedOn w:val="1"/>
    <w:qFormat/>
    <w:uiPriority w:val="0"/>
    <w:pPr>
      <w:widowControl/>
    </w:pPr>
    <w:rPr>
      <w:rFonts w:ascii="宋体" w:hAnsi="宋体" w:cs="宋体"/>
      <w:kern w:val="0"/>
      <w:szCs w:val="21"/>
    </w:rPr>
  </w:style>
  <w:style w:type="paragraph" w:customStyle="1" w:styleId="73">
    <w:name w:val="p17"/>
    <w:basedOn w:val="1"/>
    <w:qFormat/>
    <w:uiPriority w:val="0"/>
    <w:pPr>
      <w:widowControl/>
      <w:jc w:val="left"/>
    </w:pPr>
    <w:rPr>
      <w:rFonts w:ascii="宋体" w:hAnsi="宋体" w:cs="宋体"/>
      <w:kern w:val="0"/>
      <w:sz w:val="24"/>
    </w:rPr>
  </w:style>
  <w:style w:type="character" w:customStyle="1" w:styleId="74">
    <w:name w:val="正文文本 3 Char"/>
    <w:basedOn w:val="33"/>
    <w:link w:val="11"/>
    <w:qFormat/>
    <w:uiPriority w:val="0"/>
    <w:rPr>
      <w:rFonts w:eastAsia="宋体"/>
      <w:kern w:val="2"/>
      <w:sz w:val="16"/>
      <w:szCs w:val="16"/>
      <w:lang w:val="en-US" w:eastAsia="zh-CN" w:bidi="ar-SA"/>
    </w:rPr>
  </w:style>
  <w:style w:type="paragraph" w:customStyle="1" w:styleId="75">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Char Char Char Char Char Char Char Char Char Char Char Char Char"/>
    <w:basedOn w:val="1"/>
    <w:qFormat/>
    <w:uiPriority w:val="0"/>
    <w:pPr>
      <w:adjustRightInd w:val="0"/>
      <w:snapToGrid w:val="0"/>
      <w:spacing w:line="360" w:lineRule="auto"/>
      <w:ind w:firstLine="200" w:firstLineChars="200"/>
    </w:pPr>
  </w:style>
  <w:style w:type="paragraph" w:customStyle="1" w:styleId="77">
    <w:name w:val="style1"/>
    <w:basedOn w:val="1"/>
    <w:qFormat/>
    <w:uiPriority w:val="0"/>
    <w:pPr>
      <w:widowControl/>
      <w:spacing w:before="100" w:beforeAutospacing="1" w:after="100" w:afterAutospacing="1"/>
      <w:jc w:val="left"/>
    </w:pPr>
    <w:rPr>
      <w:rFonts w:ascii="宋体" w:hAnsi="宋体"/>
      <w:kern w:val="0"/>
      <w:sz w:val="18"/>
    </w:rPr>
  </w:style>
  <w:style w:type="paragraph" w:customStyle="1" w:styleId="78">
    <w:name w:val="Char Char Char Char"/>
    <w:basedOn w:val="1"/>
    <w:qFormat/>
    <w:uiPriority w:val="0"/>
  </w:style>
  <w:style w:type="character" w:customStyle="1" w:styleId="79">
    <w:name w:val="15"/>
    <w:basedOn w:val="33"/>
    <w:qFormat/>
    <w:uiPriority w:val="0"/>
    <w:rPr>
      <w:rFonts w:hint="default" w:ascii="Times New Roman" w:hAnsi="Times New Roman" w:cs="Times New Roman"/>
      <w:b/>
      <w:bCs/>
      <w:sz w:val="20"/>
      <w:szCs w:val="20"/>
    </w:rPr>
  </w:style>
  <w:style w:type="character" w:customStyle="1" w:styleId="80">
    <w:name w:val="Character Style 2"/>
    <w:qFormat/>
    <w:uiPriority w:val="0"/>
    <w:rPr>
      <w:rFonts w:cs="Times New Roman"/>
    </w:rPr>
  </w:style>
  <w:style w:type="paragraph" w:customStyle="1" w:styleId="81">
    <w:name w:val="Style 1"/>
    <w:qFormat/>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82">
    <w:name w:val="apple-converted-space"/>
    <w:basedOn w:val="33"/>
    <w:qFormat/>
    <w:uiPriority w:val="0"/>
  </w:style>
  <w:style w:type="paragraph" w:customStyle="1" w:styleId="83">
    <w:name w:val="列出段落11"/>
    <w:basedOn w:val="1"/>
    <w:qFormat/>
    <w:uiPriority w:val="34"/>
    <w:pPr>
      <w:ind w:firstLine="420" w:firstLineChars="200"/>
    </w:pPr>
    <w:rPr>
      <w:rFonts w:ascii="Calibri" w:hAnsi="Calibri" w:cs="黑体"/>
      <w:szCs w:val="22"/>
    </w:rPr>
  </w:style>
  <w:style w:type="character" w:customStyle="1" w:styleId="84">
    <w:name w:val="Header Char"/>
    <w:basedOn w:val="33"/>
    <w:semiHidden/>
    <w:qFormat/>
    <w:locked/>
    <w:uiPriority w:val="0"/>
    <w:rPr>
      <w:rFonts w:eastAsia="宋体"/>
      <w:kern w:val="2"/>
      <w:sz w:val="18"/>
      <w:szCs w:val="18"/>
      <w:lang w:val="en-US" w:eastAsia="zh-CN" w:bidi="ar-SA"/>
    </w:rPr>
  </w:style>
  <w:style w:type="character" w:customStyle="1" w:styleId="85">
    <w:name w:val="Footer Char"/>
    <w:basedOn w:val="33"/>
    <w:semiHidden/>
    <w:qFormat/>
    <w:locked/>
    <w:uiPriority w:val="0"/>
    <w:rPr>
      <w:rFonts w:eastAsia="宋体"/>
      <w:kern w:val="2"/>
      <w:sz w:val="18"/>
      <w:szCs w:val="18"/>
      <w:lang w:val="en-US" w:eastAsia="zh-CN" w:bidi="ar-SA"/>
    </w:rPr>
  </w:style>
  <w:style w:type="paragraph" w:customStyle="1" w:styleId="86">
    <w:name w:val="p18"/>
    <w:basedOn w:val="1"/>
    <w:qFormat/>
    <w:uiPriority w:val="0"/>
    <w:pPr>
      <w:widowControl/>
    </w:pPr>
    <w:rPr>
      <w:kern w:val="0"/>
      <w:szCs w:val="21"/>
    </w:rPr>
  </w:style>
  <w:style w:type="paragraph" w:styleId="87">
    <w:name w:val="List Paragraph"/>
    <w:basedOn w:val="1"/>
    <w:qFormat/>
    <w:uiPriority w:val="34"/>
    <w:pPr>
      <w:ind w:firstLine="420" w:firstLineChars="200"/>
    </w:pPr>
    <w:rPr>
      <w:rFonts w:ascii="Calibri" w:hAnsi="Calibri"/>
      <w:szCs w:val="22"/>
    </w:rPr>
  </w:style>
  <w:style w:type="character" w:customStyle="1" w:styleId="88">
    <w:name w:val="正文文本 2 Char"/>
    <w:basedOn w:val="33"/>
    <w:link w:val="26"/>
    <w:qFormat/>
    <w:uiPriority w:val="0"/>
    <w:rPr>
      <w:kern w:val="2"/>
      <w:sz w:val="21"/>
      <w:szCs w:val="24"/>
    </w:rPr>
  </w:style>
  <w:style w:type="character" w:customStyle="1" w:styleId="89">
    <w:name w:val="副标题 Char"/>
    <w:basedOn w:val="33"/>
    <w:link w:val="22"/>
    <w:qFormat/>
    <w:uiPriority w:val="0"/>
    <w:rPr>
      <w:rFonts w:ascii="Cambria" w:hAnsi="Cambria"/>
      <w:b/>
      <w:bCs/>
      <w:kern w:val="28"/>
      <w:sz w:val="32"/>
      <w:szCs w:val="32"/>
    </w:rPr>
  </w:style>
  <w:style w:type="character" w:customStyle="1" w:styleId="90">
    <w:name w:val="Char Char"/>
    <w:basedOn w:val="33"/>
    <w:qFormat/>
    <w:locked/>
    <w:uiPriority w:val="0"/>
    <w:rPr>
      <w:rFonts w:ascii="Cambria" w:hAnsi="Cambria" w:cs="Times New Roman"/>
      <w:b/>
      <w:bCs/>
      <w:kern w:val="28"/>
      <w:sz w:val="32"/>
      <w:szCs w:val="32"/>
    </w:rPr>
  </w:style>
  <w:style w:type="paragraph" w:customStyle="1" w:styleId="91">
    <w:name w:val="Char Char Char Char Char Char Char Char Char Char Char Char Char Char Char Char Char Char Char Char Char"/>
    <w:basedOn w:val="1"/>
    <w:qFormat/>
    <w:uiPriority w:val="0"/>
    <w:pPr>
      <w:widowControl/>
      <w:spacing w:after="160" w:line="240" w:lineRule="exact"/>
      <w:jc w:val="left"/>
    </w:pPr>
  </w:style>
  <w:style w:type="character" w:customStyle="1" w:styleId="92">
    <w:name w:val="副标题 Char1"/>
    <w:basedOn w:val="33"/>
    <w:link w:val="22"/>
    <w:qFormat/>
    <w:uiPriority w:val="0"/>
    <w:rPr>
      <w:rFonts w:ascii="Cambria" w:hAnsi="Cambria" w:cs="Times New Roman"/>
      <w:b/>
      <w:bCs/>
      <w:kern w:val="28"/>
      <w:sz w:val="32"/>
      <w:szCs w:val="32"/>
    </w:rPr>
  </w:style>
  <w:style w:type="paragraph" w:styleId="93">
    <w:name w:val="No Spacing"/>
    <w:link w:val="94"/>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4">
    <w:name w:val="无间隔 Char"/>
    <w:basedOn w:val="33"/>
    <w:link w:val="93"/>
    <w:qFormat/>
    <w:uiPriority w:val="1"/>
    <w:rPr>
      <w:kern w:val="2"/>
      <w:sz w:val="21"/>
      <w:szCs w:val="24"/>
      <w:lang w:val="en-US" w:eastAsia="zh-CN" w:bidi="ar-SA"/>
    </w:rPr>
  </w:style>
  <w:style w:type="paragraph" w:customStyle="1" w:styleId="95">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6">
    <w:name w:val="文档结构图 Char"/>
    <w:basedOn w:val="33"/>
    <w:link w:val="8"/>
    <w:qFormat/>
    <w:uiPriority w:val="0"/>
    <w:rPr>
      <w:rFonts w:ascii="宋体"/>
      <w:kern w:val="2"/>
      <w:sz w:val="18"/>
      <w:szCs w:val="18"/>
    </w:rPr>
  </w:style>
  <w:style w:type="paragraph" w:customStyle="1" w:styleId="97">
    <w:name w:val="样式 标题 1 + 两端对齐 首行缩进:  2 字符"/>
    <w:basedOn w:val="2"/>
    <w:qFormat/>
    <w:uiPriority w:val="0"/>
    <w:pPr>
      <w:spacing w:line="240" w:lineRule="auto"/>
    </w:pPr>
    <w:rPr>
      <w:rFonts w:eastAsia="方正大标宋简体" w:cs="宋体"/>
      <w:szCs w:val="20"/>
    </w:rPr>
  </w:style>
  <w:style w:type="paragraph" w:customStyle="1" w:styleId="98">
    <w:name w:val="样式 标题 1 + 首行缩进:  2 字符"/>
    <w:basedOn w:val="2"/>
    <w:qFormat/>
    <w:uiPriority w:val="0"/>
    <w:pPr>
      <w:spacing w:line="240" w:lineRule="auto"/>
      <w:jc w:val="center"/>
    </w:pPr>
    <w:rPr>
      <w:rFonts w:eastAsia="方正大标宋简体" w:cs="宋体"/>
      <w:szCs w:val="20"/>
    </w:rPr>
  </w:style>
  <w:style w:type="character" w:customStyle="1" w:styleId="99">
    <w:name w:val="脚注文本 Char"/>
    <w:basedOn w:val="33"/>
    <w:link w:val="23"/>
    <w:qFormat/>
    <w:uiPriority w:val="99"/>
    <w:rPr>
      <w:rFonts w:ascii="等线" w:hAnsi="等线" w:eastAsia="等线" w:cs="黑体"/>
      <w:kern w:val="2"/>
      <w:sz w:val="18"/>
      <w:szCs w:val="18"/>
    </w:rPr>
  </w:style>
  <w:style w:type="character" w:customStyle="1" w:styleId="100">
    <w:name w:val="NormalCharacter"/>
    <w:qFormat/>
    <w:uiPriority w:val="0"/>
  </w:style>
  <w:style w:type="paragraph" w:customStyle="1" w:styleId="101">
    <w:name w:val="正文首行缩进 21"/>
    <w:basedOn w:val="1"/>
    <w:next w:val="28"/>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102">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3">
    <w:name w:val="标题 Char"/>
    <w:basedOn w:val="33"/>
    <w:link w:val="29"/>
    <w:qFormat/>
    <w:uiPriority w:val="0"/>
    <w:rPr>
      <w:rFonts w:ascii="Arial" w:hAnsi="Arial"/>
      <w:b/>
      <w:kern w:val="2"/>
      <w:sz w:val="32"/>
      <w:szCs w:val="24"/>
    </w:rPr>
  </w:style>
  <w:style w:type="character" w:customStyle="1" w:styleId="104">
    <w:name w:val="正文文本缩进 Char"/>
    <w:basedOn w:val="33"/>
    <w:link w:val="13"/>
    <w:qFormat/>
    <w:uiPriority w:val="0"/>
    <w:rPr>
      <w:rFonts w:eastAsia="仿宋_GB2312"/>
      <w:kern w:val="2"/>
      <w:sz w:val="32"/>
      <w:szCs w:val="24"/>
    </w:rPr>
  </w:style>
  <w:style w:type="character" w:customStyle="1" w:styleId="105">
    <w:name w:val="正文首行缩进 2 Char"/>
    <w:basedOn w:val="104"/>
    <w:link w:val="30"/>
    <w:qFormat/>
    <w:uiPriority w:val="99"/>
    <w:rPr>
      <w:rFonts w:ascii="Calibri" w:hAnsi="Calibri"/>
      <w:sz w:val="21"/>
    </w:rPr>
  </w:style>
  <w:style w:type="character" w:customStyle="1" w:styleId="106">
    <w:name w:val="HTML 预设格式 Char"/>
    <w:basedOn w:val="33"/>
    <w:link w:val="27"/>
    <w:qFormat/>
    <w:uiPriority w:val="0"/>
    <w:rPr>
      <w:rFonts w:ascii="宋体" w:hAnsi="宋体" w:cs="宋体"/>
      <w:sz w:val="24"/>
      <w:szCs w:val="24"/>
    </w:rPr>
  </w:style>
  <w:style w:type="paragraph" w:customStyle="1" w:styleId="107">
    <w:name w:val="List Paragraph1"/>
    <w:basedOn w:val="1"/>
    <w:qFormat/>
    <w:uiPriority w:val="0"/>
    <w:pPr>
      <w:widowControl/>
      <w:ind w:firstLine="420" w:firstLineChars="200"/>
    </w:pPr>
    <w:rPr>
      <w:rFonts w:ascii="Calibri" w:hAnsi="Calibri" w:cs="Calibri"/>
      <w:szCs w:val="21"/>
    </w:rPr>
  </w:style>
  <w:style w:type="paragraph" w:customStyle="1" w:styleId="108">
    <w:name w:val="列出段落2"/>
    <w:basedOn w:val="1"/>
    <w:unhideWhenUsed/>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09">
    <w:name w:val="纯文本 Char"/>
    <w:basedOn w:val="33"/>
    <w:link w:val="15"/>
    <w:qFormat/>
    <w:locked/>
    <w:uiPriority w:val="99"/>
    <w:rPr>
      <w:rFonts w:ascii="宋体" w:hAnsi="Courier New"/>
      <w:kern w:val="2"/>
      <w:sz w:val="21"/>
      <w:szCs w:val="24"/>
    </w:rPr>
  </w:style>
  <w:style w:type="character" w:customStyle="1" w:styleId="110">
    <w:name w:val="font51"/>
    <w:basedOn w:val="33"/>
    <w:qFormat/>
    <w:uiPriority w:val="0"/>
    <w:rPr>
      <w:rFonts w:hint="eastAsia" w:ascii="仿宋" w:hAnsi="仿宋" w:eastAsia="仿宋" w:cs="仿宋"/>
      <w:color w:val="000000"/>
      <w:sz w:val="32"/>
      <w:szCs w:val="32"/>
      <w:u w:val="none"/>
    </w:rPr>
  </w:style>
  <w:style w:type="character" w:customStyle="1" w:styleId="111">
    <w:name w:val="font41"/>
    <w:basedOn w:val="33"/>
    <w:qFormat/>
    <w:uiPriority w:val="0"/>
    <w:rPr>
      <w:rFonts w:hint="eastAsia" w:ascii="仿宋" w:hAnsi="仿宋" w:eastAsia="仿宋" w:cs="仿宋"/>
      <w:color w:val="0C0C0C"/>
      <w:sz w:val="32"/>
      <w:szCs w:val="32"/>
      <w:u w:val="none"/>
    </w:rPr>
  </w:style>
  <w:style w:type="character" w:customStyle="1" w:styleId="112">
    <w:name w:val="标题 4 Char"/>
    <w:basedOn w:val="33"/>
    <w:link w:val="5"/>
    <w:qFormat/>
    <w:uiPriority w:val="0"/>
    <w:rPr>
      <w:rFonts w:ascii="Cambria" w:hAnsi="Cambria"/>
      <w:b/>
      <w:bCs/>
      <w:kern w:val="2"/>
      <w:sz w:val="28"/>
      <w:szCs w:val="28"/>
    </w:rPr>
  </w:style>
  <w:style w:type="character" w:customStyle="1" w:styleId="113">
    <w:name w:val="font31"/>
    <w:qFormat/>
    <w:uiPriority w:val="0"/>
    <w:rPr>
      <w:rFonts w:hint="eastAsia" w:ascii="黑体" w:hAnsi="宋体" w:eastAsia="黑体" w:cs="黑体"/>
      <w:b/>
      <w:color w:val="000000"/>
      <w:sz w:val="24"/>
      <w:szCs w:val="24"/>
      <w:u w:val="none"/>
    </w:rPr>
  </w:style>
  <w:style w:type="paragraph" w:customStyle="1" w:styleId="114">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5">
    <w:name w:val="引文目录1"/>
    <w:qFormat/>
    <w:uiPriority w:val="0"/>
    <w:pPr>
      <w:ind w:left="420" w:leftChars="200"/>
    </w:pPr>
    <w:rPr>
      <w:rFonts w:ascii="Times New Roman" w:hAnsi="Times New Roman" w:eastAsia="宋体" w:cs="Times New Roman"/>
      <w:sz w:val="32"/>
      <w:szCs w:val="32"/>
      <w:lang w:val="en-US" w:eastAsia="zh-CN" w:bidi="ar-SA"/>
    </w:rPr>
  </w:style>
  <w:style w:type="paragraph" w:customStyle="1" w:styleId="116">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17">
    <w:name w:val="标题 5 Char"/>
    <w:basedOn w:val="33"/>
    <w:link w:val="6"/>
    <w:semiHidden/>
    <w:qFormat/>
    <w:uiPriority w:val="0"/>
    <w:rPr>
      <w:b/>
      <w:bCs/>
      <w:kern w:val="2"/>
      <w:sz w:val="28"/>
      <w:szCs w:val="28"/>
    </w:rPr>
  </w:style>
  <w:style w:type="paragraph" w:customStyle="1" w:styleId="118">
    <w:name w:val="TableOfAuthoring"/>
    <w:basedOn w:val="1"/>
    <w:next w:val="1"/>
    <w:qFormat/>
    <w:uiPriority w:val="0"/>
    <w:pPr>
      <w:ind w:left="420" w:leftChars="200"/>
      <w:textAlignment w:val="baseline"/>
    </w:pPr>
  </w:style>
  <w:style w:type="paragraph" w:customStyle="1" w:styleId="119">
    <w:name w:val="Heading5"/>
    <w:basedOn w:val="1"/>
    <w:next w:val="1"/>
    <w:qFormat/>
    <w:uiPriority w:val="0"/>
    <w:pPr>
      <w:snapToGrid w:val="0"/>
      <w:spacing w:line="360" w:lineRule="auto"/>
      <w:ind w:firstLine="200" w:firstLineChars="200"/>
      <w:textAlignment w:val="baseline"/>
    </w:pPr>
    <w:rPr>
      <w:rFonts w:ascii="仿宋_GB2312" w:hAnsi="Calibri" w:eastAsia="仿宋_GB2312"/>
      <w:sz w:val="32"/>
      <w:szCs w:val="28"/>
    </w:rPr>
  </w:style>
  <w:style w:type="paragraph" w:customStyle="1" w:styleId="120">
    <w:name w:val="Body Text First Indent 21"/>
    <w:basedOn w:val="1"/>
    <w:qFormat/>
    <w:uiPriority w:val="0"/>
    <w:pPr>
      <w:spacing w:after="120"/>
      <w:ind w:left="420" w:leftChars="200" w:firstLine="420" w:firstLineChars="200"/>
    </w:pPr>
  </w:style>
  <w:style w:type="paragraph" w:customStyle="1" w:styleId="121">
    <w:name w:val="无间隔1"/>
    <w:qFormat/>
    <w:uiPriority w:val="0"/>
    <w:pPr>
      <w:widowControl w:val="0"/>
      <w:ind w:firstLine="200"/>
      <w:jc w:val="both"/>
    </w:pPr>
    <w:rPr>
      <w:rFonts w:ascii="Calibri" w:hAnsi="Calibri" w:eastAsia="Calibri" w:cs="Calibri"/>
      <w:color w:val="000000"/>
      <w:kern w:val="2"/>
      <w:sz w:val="21"/>
      <w:szCs w:val="21"/>
      <w:lang w:val="en-US" w:eastAsia="zh-CN" w:bidi="ar-SA"/>
    </w:rPr>
  </w:style>
  <w:style w:type="paragraph" w:customStyle="1" w:styleId="122">
    <w:name w:val="BodyText"/>
    <w:basedOn w:val="1"/>
    <w:qFormat/>
    <w:uiPriority w:val="0"/>
    <w:pPr>
      <w:spacing w:after="120"/>
      <w:textAlignment w:val="baseline"/>
    </w:pPr>
    <w:rPr>
      <w:szCs w:val="20"/>
    </w:rPr>
  </w:style>
  <w:style w:type="paragraph" w:customStyle="1" w:styleId="123">
    <w:name w:val="二级标题 Char Char Char"/>
    <w:basedOn w:val="1"/>
    <w:next w:val="1"/>
    <w:qFormat/>
    <w:uiPriority w:val="0"/>
    <w:pPr>
      <w:ind w:firstLine="200" w:firstLineChars="200"/>
    </w:pPr>
    <w:rPr>
      <w:rFonts w:eastAsia="Times New Roman"/>
      <w:kern w:val="0"/>
      <w:sz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14</Pages>
  <Words>1066</Words>
  <Characters>6077</Characters>
  <Lines>50</Lines>
  <Paragraphs>14</Paragraphs>
  <TotalTime>38</TotalTime>
  <ScaleCrop>false</ScaleCrop>
  <LinksUpToDate>false</LinksUpToDate>
  <CharactersWithSpaces>7129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2022-06-15T15:49:00Z</dcterms:created>
  <dc:creator>Administrator</dc:creator>
  <cp:lastModifiedBy>kylin</cp:lastModifiedBy>
  <cp:lastPrinted>2022-06-15T16:45:00Z</cp:lastPrinted>
  <dcterms:modified xsi:type="dcterms:W3CDTF">2023-03-13T10:46:38Z</dcterms:modified>
  <dc:title>忻州市人民政府办公厅</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